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1F" w:rsidRDefault="00496A1F" w:rsidP="003347FB">
      <w:pPr>
        <w:jc w:val="center"/>
        <w:rPr>
          <w:rFonts w:asciiTheme="majorHAnsi" w:hAnsiTheme="majorHAnsi"/>
          <w:b/>
          <w:sz w:val="36"/>
          <w:szCs w:val="36"/>
        </w:rPr>
      </w:pPr>
    </w:p>
    <w:p w:rsidR="00496A1F" w:rsidRDefault="00496A1F" w:rsidP="003347FB">
      <w:pPr>
        <w:jc w:val="center"/>
        <w:rPr>
          <w:rFonts w:asciiTheme="majorHAnsi" w:hAnsiTheme="majorHAnsi"/>
          <w:b/>
          <w:sz w:val="36"/>
          <w:szCs w:val="36"/>
        </w:rPr>
      </w:pPr>
    </w:p>
    <w:p w:rsidR="00496A1F" w:rsidRDefault="00496A1F" w:rsidP="003347FB">
      <w:pPr>
        <w:jc w:val="center"/>
        <w:rPr>
          <w:rFonts w:asciiTheme="majorHAnsi" w:hAnsiTheme="majorHAnsi"/>
          <w:b/>
          <w:sz w:val="36"/>
          <w:szCs w:val="36"/>
        </w:rPr>
      </w:pPr>
    </w:p>
    <w:p w:rsidR="00496A1F" w:rsidRDefault="00496A1F" w:rsidP="003347FB">
      <w:pPr>
        <w:jc w:val="center"/>
        <w:rPr>
          <w:rFonts w:asciiTheme="majorHAnsi" w:hAnsiTheme="majorHAnsi"/>
          <w:b/>
          <w:sz w:val="36"/>
          <w:szCs w:val="36"/>
        </w:rPr>
      </w:pPr>
    </w:p>
    <w:p w:rsidR="00496A1F" w:rsidRDefault="00496A1F" w:rsidP="003347FB">
      <w:pPr>
        <w:jc w:val="center"/>
        <w:rPr>
          <w:rFonts w:asciiTheme="majorHAnsi" w:hAnsiTheme="majorHAnsi"/>
          <w:b/>
          <w:sz w:val="36"/>
          <w:szCs w:val="36"/>
        </w:rPr>
      </w:pPr>
    </w:p>
    <w:p w:rsidR="00496A1F" w:rsidRDefault="00496A1F" w:rsidP="003347FB">
      <w:pPr>
        <w:jc w:val="center"/>
        <w:rPr>
          <w:rFonts w:asciiTheme="majorHAnsi" w:hAnsiTheme="majorHAnsi"/>
          <w:b/>
          <w:sz w:val="36"/>
          <w:szCs w:val="36"/>
        </w:rPr>
      </w:pPr>
    </w:p>
    <w:p w:rsidR="00496A1F" w:rsidRDefault="00496A1F" w:rsidP="003347FB">
      <w:pPr>
        <w:jc w:val="center"/>
        <w:rPr>
          <w:rFonts w:asciiTheme="majorHAnsi" w:hAnsiTheme="majorHAnsi"/>
          <w:b/>
          <w:sz w:val="36"/>
          <w:szCs w:val="36"/>
        </w:rPr>
      </w:pPr>
    </w:p>
    <w:p w:rsidR="00496A1F" w:rsidRDefault="00496A1F" w:rsidP="003347FB">
      <w:pPr>
        <w:jc w:val="center"/>
        <w:rPr>
          <w:rFonts w:asciiTheme="majorHAnsi" w:hAnsiTheme="majorHAnsi"/>
          <w:b/>
          <w:sz w:val="36"/>
          <w:szCs w:val="36"/>
        </w:rPr>
      </w:pPr>
    </w:p>
    <w:p w:rsidR="00496A1F" w:rsidRDefault="00496A1F" w:rsidP="003347FB">
      <w:pPr>
        <w:jc w:val="center"/>
        <w:rPr>
          <w:rFonts w:asciiTheme="majorHAnsi" w:hAnsiTheme="majorHAnsi"/>
          <w:b/>
          <w:sz w:val="36"/>
          <w:szCs w:val="36"/>
        </w:rPr>
      </w:pPr>
    </w:p>
    <w:p w:rsidR="00496A1F" w:rsidRDefault="003347FB" w:rsidP="003347FB">
      <w:pPr>
        <w:jc w:val="center"/>
        <w:rPr>
          <w:rFonts w:asciiTheme="majorHAnsi" w:hAnsiTheme="majorHAnsi"/>
          <w:b/>
          <w:sz w:val="36"/>
          <w:szCs w:val="36"/>
        </w:rPr>
      </w:pPr>
      <w:r w:rsidRPr="00496A1F">
        <w:rPr>
          <w:rFonts w:asciiTheme="majorHAnsi" w:hAnsiTheme="majorHAnsi"/>
          <w:b/>
          <w:sz w:val="36"/>
          <w:szCs w:val="36"/>
        </w:rPr>
        <w:t xml:space="preserve">CleanPowerSF Build-Out </w:t>
      </w:r>
    </w:p>
    <w:p w:rsidR="00BD315D" w:rsidRPr="00496A1F" w:rsidRDefault="00496A1F" w:rsidP="003347FB">
      <w:pPr>
        <w:jc w:val="center"/>
        <w:rPr>
          <w:rFonts w:asciiTheme="majorHAnsi" w:hAnsiTheme="majorHAnsi"/>
          <w:b/>
          <w:sz w:val="36"/>
          <w:szCs w:val="36"/>
        </w:rPr>
      </w:pPr>
      <w:r>
        <w:rPr>
          <w:rFonts w:asciiTheme="majorHAnsi" w:hAnsiTheme="majorHAnsi"/>
          <w:b/>
          <w:sz w:val="36"/>
          <w:szCs w:val="36"/>
        </w:rPr>
        <w:t xml:space="preserve">Roadmap and </w:t>
      </w:r>
      <w:r w:rsidR="003347FB" w:rsidRPr="00496A1F">
        <w:rPr>
          <w:rFonts w:asciiTheme="majorHAnsi" w:hAnsiTheme="majorHAnsi"/>
          <w:b/>
          <w:sz w:val="36"/>
          <w:szCs w:val="36"/>
        </w:rPr>
        <w:t>Strategies</w:t>
      </w:r>
    </w:p>
    <w:p w:rsidR="00BD315D" w:rsidRPr="00496A1F" w:rsidRDefault="003347FB" w:rsidP="007A2109">
      <w:pPr>
        <w:jc w:val="center"/>
        <w:rPr>
          <w:rFonts w:asciiTheme="majorHAnsi" w:hAnsiTheme="majorHAnsi"/>
          <w:b/>
          <w:i/>
          <w:sz w:val="36"/>
          <w:szCs w:val="36"/>
        </w:rPr>
      </w:pPr>
      <w:r w:rsidRPr="00496A1F">
        <w:rPr>
          <w:rFonts w:asciiTheme="majorHAnsi" w:hAnsiTheme="majorHAnsi"/>
          <w:b/>
          <w:i/>
          <w:sz w:val="36"/>
          <w:szCs w:val="36"/>
        </w:rPr>
        <w:t>DRAFT</w:t>
      </w:r>
    </w:p>
    <w:p w:rsidR="00BD315D" w:rsidRPr="00496A1F" w:rsidRDefault="00BD315D" w:rsidP="008F6C22">
      <w:pPr>
        <w:jc w:val="center"/>
        <w:rPr>
          <w:rFonts w:asciiTheme="majorHAnsi" w:hAnsiTheme="majorHAnsi"/>
          <w:sz w:val="36"/>
          <w:szCs w:val="36"/>
        </w:rPr>
      </w:pPr>
    </w:p>
    <w:p w:rsidR="00BD315D" w:rsidRPr="00496A1F" w:rsidRDefault="00BD315D" w:rsidP="008F6C22">
      <w:pPr>
        <w:jc w:val="center"/>
        <w:rPr>
          <w:rFonts w:asciiTheme="majorHAnsi" w:hAnsiTheme="majorHAnsi"/>
          <w:sz w:val="36"/>
          <w:szCs w:val="36"/>
        </w:rPr>
      </w:pPr>
      <w:r w:rsidRPr="00496A1F">
        <w:rPr>
          <w:rFonts w:asciiTheme="majorHAnsi" w:hAnsiTheme="majorHAnsi"/>
          <w:sz w:val="36"/>
          <w:szCs w:val="36"/>
        </w:rPr>
        <w:t>SFPUC Power Enterprise</w:t>
      </w:r>
    </w:p>
    <w:p w:rsidR="00BD315D" w:rsidRPr="00496A1F" w:rsidRDefault="00C03A75" w:rsidP="008F6C22">
      <w:pPr>
        <w:jc w:val="center"/>
        <w:rPr>
          <w:rFonts w:asciiTheme="majorHAnsi" w:hAnsiTheme="majorHAnsi"/>
          <w:sz w:val="36"/>
          <w:szCs w:val="36"/>
        </w:rPr>
      </w:pPr>
      <w:r w:rsidRPr="00496A1F">
        <w:rPr>
          <w:rFonts w:asciiTheme="majorHAnsi" w:hAnsiTheme="majorHAnsi"/>
          <w:sz w:val="36"/>
          <w:szCs w:val="36"/>
        </w:rPr>
        <w:t>June</w:t>
      </w:r>
      <w:r w:rsidR="003347FB" w:rsidRPr="00496A1F">
        <w:rPr>
          <w:rFonts w:asciiTheme="majorHAnsi" w:hAnsiTheme="majorHAnsi"/>
          <w:sz w:val="36"/>
          <w:szCs w:val="36"/>
        </w:rPr>
        <w:t xml:space="preserve"> 2013</w:t>
      </w:r>
    </w:p>
    <w:p w:rsidR="00496A1F" w:rsidRDefault="00496A1F">
      <w:pPr>
        <w:rPr>
          <w:rFonts w:asciiTheme="majorHAnsi" w:hAnsiTheme="majorHAnsi"/>
          <w:sz w:val="36"/>
          <w:szCs w:val="36"/>
        </w:rPr>
      </w:pPr>
      <w:r>
        <w:rPr>
          <w:rFonts w:asciiTheme="majorHAnsi" w:hAnsiTheme="majorHAnsi"/>
          <w:sz w:val="36"/>
          <w:szCs w:val="36"/>
        </w:rPr>
        <w:br w:type="page"/>
      </w:r>
    </w:p>
    <w:p w:rsidR="003347FB" w:rsidRPr="00496A1F" w:rsidRDefault="003347FB" w:rsidP="00386AAD">
      <w:pPr>
        <w:rPr>
          <w:rFonts w:asciiTheme="majorHAnsi" w:hAnsiTheme="majorHAnsi"/>
          <w:sz w:val="36"/>
          <w:szCs w:val="36"/>
        </w:rPr>
      </w:pPr>
    </w:p>
    <w:p w:rsidR="00C03A75" w:rsidRDefault="00C03A75" w:rsidP="00073EA4">
      <w:pPr>
        <w:pStyle w:val="Heading1"/>
        <w:numPr>
          <w:ilvl w:val="0"/>
          <w:numId w:val="0"/>
        </w:numPr>
      </w:pPr>
      <w:bookmarkStart w:id="0" w:name="_Toc317667125"/>
    </w:p>
    <w:p w:rsidR="002666D0" w:rsidRDefault="00C03A75" w:rsidP="00073EA4">
      <w:pPr>
        <w:pStyle w:val="Heading1"/>
        <w:numPr>
          <w:ilvl w:val="0"/>
          <w:numId w:val="0"/>
        </w:numPr>
      </w:pPr>
      <w:r>
        <w:t>Summary</w:t>
      </w:r>
    </w:p>
    <w:p w:rsidR="00C03A75" w:rsidRDefault="00C03A75" w:rsidP="00C03A75">
      <w:pPr>
        <w:rPr>
          <w:lang w:bidi="en-US"/>
        </w:rPr>
      </w:pPr>
    </w:p>
    <w:p w:rsidR="00C03A75" w:rsidRDefault="00C03A75" w:rsidP="00C03A75">
      <w:pPr>
        <w:rPr>
          <w:lang w:bidi="en-US"/>
        </w:rPr>
      </w:pPr>
    </w:p>
    <w:p w:rsidR="00C03A75" w:rsidRDefault="00C03A75" w:rsidP="00C03A75">
      <w:pPr>
        <w:rPr>
          <w:lang w:bidi="en-US"/>
        </w:rPr>
      </w:pPr>
    </w:p>
    <w:p w:rsidR="00C03A75" w:rsidRDefault="00C03A75" w:rsidP="00C03A75">
      <w:pPr>
        <w:rPr>
          <w:lang w:bidi="en-US"/>
        </w:rPr>
      </w:pPr>
    </w:p>
    <w:p w:rsidR="00C03A75" w:rsidRDefault="00C03A75" w:rsidP="00C03A75">
      <w:pPr>
        <w:rPr>
          <w:lang w:bidi="en-US"/>
        </w:rPr>
      </w:pPr>
    </w:p>
    <w:p w:rsidR="00C03A75" w:rsidRDefault="00C03A75" w:rsidP="00C03A75">
      <w:pPr>
        <w:rPr>
          <w:lang w:bidi="en-US"/>
        </w:rPr>
      </w:pPr>
    </w:p>
    <w:p w:rsidR="00C03A75" w:rsidRPr="00C03A75" w:rsidRDefault="00C03A75" w:rsidP="00C03A75">
      <w:pPr>
        <w:rPr>
          <w:lang w:bidi="en-US"/>
        </w:rPr>
      </w:pPr>
    </w:p>
    <w:bookmarkEnd w:id="0"/>
    <w:p w:rsidR="00E5753C" w:rsidRPr="00073EA4" w:rsidRDefault="00785FDD" w:rsidP="00073EA4">
      <w:pPr>
        <w:pStyle w:val="Heading1"/>
        <w:rPr>
          <w:color w:val="000000"/>
          <w14:textFill>
            <w14:solidFill>
              <w14:srgbClr w14:val="000000">
                <w14:lumMod w14:val="65000"/>
                <w14:lumOff w14:val="35000"/>
              </w14:srgbClr>
            </w14:solidFill>
          </w14:textFill>
        </w:rPr>
      </w:pPr>
      <w:r w:rsidRPr="00073EA4">
        <w:t>BACKGROUND</w:t>
      </w:r>
    </w:p>
    <w:p w:rsidR="00785FDD" w:rsidRDefault="00785FDD" w:rsidP="00304893">
      <w:pPr>
        <w:spacing w:line="288" w:lineRule="auto"/>
        <w:rPr>
          <w:rFonts w:asciiTheme="majorHAnsi" w:hAnsiTheme="majorHAnsi"/>
          <w:b/>
          <w:i/>
          <w:sz w:val="23"/>
          <w:szCs w:val="23"/>
          <w:u w:val="single"/>
        </w:rPr>
      </w:pPr>
    </w:p>
    <w:p w:rsidR="00304893" w:rsidRPr="003B5D25" w:rsidRDefault="00304893" w:rsidP="00304893">
      <w:pPr>
        <w:spacing w:line="288" w:lineRule="auto"/>
        <w:rPr>
          <w:rFonts w:asciiTheme="majorHAnsi" w:hAnsiTheme="majorHAnsi"/>
          <w:bCs/>
        </w:rPr>
      </w:pPr>
      <w:r w:rsidRPr="003B5D25">
        <w:rPr>
          <w:rFonts w:asciiTheme="majorHAnsi" w:hAnsiTheme="majorHAnsi"/>
          <w:bCs/>
        </w:rPr>
        <w:t>This presents strategic direction for CleanPowerSF’s (CPSF) proposed build-out of local energy resources.  CPSF is a community choice aggregator (CCA) in the City and County of San Francisco, and implemented by the San Francisco Public Utilities Commission (SFPUC), that intends to begin serving power to an estimated 90,000 residential accounts in early 2014.  Consistent with program rules promulgated by the California Public Utilities Commission</w:t>
      </w:r>
      <w:r w:rsidR="00E35D18" w:rsidRPr="003B5D25">
        <w:rPr>
          <w:rFonts w:asciiTheme="majorHAnsi" w:hAnsiTheme="majorHAnsi"/>
          <w:bCs/>
        </w:rPr>
        <w:t xml:space="preserve"> (CPUC)</w:t>
      </w:r>
      <w:r w:rsidRPr="003B5D25">
        <w:rPr>
          <w:rFonts w:asciiTheme="majorHAnsi" w:hAnsiTheme="majorHAnsi"/>
          <w:bCs/>
        </w:rPr>
        <w:t>, CPSF will eventually offer service to all San Francisco residents.</w:t>
      </w:r>
    </w:p>
    <w:p w:rsidR="00304893" w:rsidRPr="003B5D25" w:rsidRDefault="00304893" w:rsidP="00304893">
      <w:pPr>
        <w:spacing w:line="288" w:lineRule="auto"/>
        <w:rPr>
          <w:rFonts w:asciiTheme="majorHAnsi" w:hAnsiTheme="majorHAnsi"/>
          <w:bCs/>
        </w:rPr>
      </w:pPr>
    </w:p>
    <w:p w:rsidR="00304893" w:rsidRPr="003B5D25" w:rsidRDefault="00304893" w:rsidP="00304893">
      <w:pPr>
        <w:spacing w:line="288" w:lineRule="auto"/>
        <w:rPr>
          <w:rFonts w:asciiTheme="majorHAnsi" w:hAnsiTheme="majorHAnsi"/>
          <w:bCs/>
        </w:rPr>
      </w:pPr>
      <w:r w:rsidRPr="003B5D25">
        <w:rPr>
          <w:rFonts w:asciiTheme="majorHAnsi" w:hAnsiTheme="majorHAnsi"/>
          <w:bCs/>
        </w:rPr>
        <w:t>Build-out of electricity resources in the community and on property that is owned by the City and County of San Francisco (the City) is an essential component of CPSF’s business model.  Although community stakeholders, elected officials and SFPUC staff may not have always agreed on the pace and nature of CPSF’s build-out plan, all three groups appear to agree that one of the benefits of having a CCA manage electricity purchases is that it can be a vehicle for a more comprehensive effort to promote environmental values within the City while strengthening the local economy.</w:t>
      </w:r>
    </w:p>
    <w:p w:rsidR="00785FDD" w:rsidRPr="003B5D25" w:rsidRDefault="00785FDD" w:rsidP="00304893">
      <w:pPr>
        <w:spacing w:line="288" w:lineRule="auto"/>
        <w:rPr>
          <w:rFonts w:asciiTheme="majorHAnsi" w:hAnsiTheme="majorHAnsi"/>
          <w:b/>
          <w:i/>
          <w:u w:val="single"/>
        </w:rPr>
      </w:pPr>
    </w:p>
    <w:p w:rsidR="00304893" w:rsidRPr="003B5D25" w:rsidRDefault="00304893" w:rsidP="00304893">
      <w:pPr>
        <w:spacing w:line="288" w:lineRule="auto"/>
        <w:rPr>
          <w:rFonts w:asciiTheme="majorHAnsi" w:hAnsiTheme="majorHAnsi"/>
          <w:bCs/>
        </w:rPr>
      </w:pPr>
      <w:r w:rsidRPr="003B5D25">
        <w:rPr>
          <w:rFonts w:asciiTheme="majorHAnsi" w:hAnsiTheme="majorHAnsi"/>
          <w:bCs/>
        </w:rPr>
        <w:t>CPSF’s build-out would support the general public policy goals of CCSF’s 2011 Updated Electricity Resource Plan (adopted by the SFPUC Commission in March 2011 and endorsed by the Board of Supervisors in August 2011), as follows:</w:t>
      </w:r>
    </w:p>
    <w:p w:rsidR="00304893" w:rsidRPr="003B5D25" w:rsidRDefault="00304893" w:rsidP="00304893">
      <w:pPr>
        <w:autoSpaceDE w:val="0"/>
        <w:autoSpaceDN w:val="0"/>
        <w:adjustRightInd w:val="0"/>
        <w:spacing w:line="288" w:lineRule="auto"/>
        <w:rPr>
          <w:rFonts w:asciiTheme="majorHAnsi" w:hAnsiTheme="majorHAnsi" w:cs="Garamond"/>
          <w:color w:val="174B0D"/>
        </w:rPr>
      </w:pPr>
    </w:p>
    <w:p w:rsidR="00304893" w:rsidRPr="003B5D25" w:rsidRDefault="00304893" w:rsidP="00304893">
      <w:pPr>
        <w:pStyle w:val="ListParagraph"/>
        <w:numPr>
          <w:ilvl w:val="0"/>
          <w:numId w:val="11"/>
        </w:num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Assure Reliable Power</w:t>
      </w:r>
    </w:p>
    <w:p w:rsidR="00304893" w:rsidRPr="003B5D25" w:rsidRDefault="00304893" w:rsidP="00304893">
      <w:pPr>
        <w:pStyle w:val="ListParagraph"/>
        <w:numPr>
          <w:ilvl w:val="0"/>
          <w:numId w:val="11"/>
        </w:num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Maximize Energy Efficiency</w:t>
      </w:r>
    </w:p>
    <w:p w:rsidR="00304893" w:rsidRPr="003B5D25" w:rsidRDefault="00304893" w:rsidP="00304893">
      <w:pPr>
        <w:pStyle w:val="ListParagraph"/>
        <w:numPr>
          <w:ilvl w:val="0"/>
          <w:numId w:val="11"/>
        </w:num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Develop Renewable Power</w:t>
      </w:r>
    </w:p>
    <w:p w:rsidR="00304893" w:rsidRPr="003B5D25" w:rsidRDefault="00304893" w:rsidP="00304893">
      <w:pPr>
        <w:pStyle w:val="ListParagraph"/>
        <w:numPr>
          <w:ilvl w:val="0"/>
          <w:numId w:val="11"/>
        </w:num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Increase Local Control</w:t>
      </w:r>
    </w:p>
    <w:p w:rsidR="00304893" w:rsidRPr="003B5D25" w:rsidRDefault="00304893" w:rsidP="00304893">
      <w:pPr>
        <w:pStyle w:val="ListParagraph"/>
        <w:numPr>
          <w:ilvl w:val="0"/>
          <w:numId w:val="11"/>
        </w:num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Affordable Electric Bills</w:t>
      </w:r>
    </w:p>
    <w:p w:rsidR="00304893" w:rsidRPr="003B5D25" w:rsidRDefault="00304893" w:rsidP="00304893">
      <w:pPr>
        <w:pStyle w:val="ListParagraph"/>
        <w:numPr>
          <w:ilvl w:val="0"/>
          <w:numId w:val="11"/>
        </w:num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Improve Air Quality</w:t>
      </w:r>
    </w:p>
    <w:p w:rsidR="00304893" w:rsidRPr="003B5D25" w:rsidRDefault="00304893" w:rsidP="00304893">
      <w:pPr>
        <w:pStyle w:val="ListParagraph"/>
        <w:numPr>
          <w:ilvl w:val="0"/>
          <w:numId w:val="11"/>
        </w:num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Support Environmental Justice</w:t>
      </w:r>
    </w:p>
    <w:p w:rsidR="00304893" w:rsidRPr="003B5D25" w:rsidRDefault="00304893" w:rsidP="00304893">
      <w:pPr>
        <w:pStyle w:val="ListParagraph"/>
        <w:numPr>
          <w:ilvl w:val="0"/>
          <w:numId w:val="11"/>
        </w:numPr>
        <w:spacing w:line="288" w:lineRule="auto"/>
        <w:rPr>
          <w:rFonts w:asciiTheme="majorHAnsi" w:hAnsiTheme="majorHAnsi" w:cstheme="minorHAnsi"/>
          <w:bCs/>
        </w:rPr>
      </w:pPr>
      <w:r w:rsidRPr="003B5D25">
        <w:rPr>
          <w:rFonts w:asciiTheme="majorHAnsi" w:hAnsiTheme="majorHAnsi" w:cstheme="minorHAnsi"/>
        </w:rPr>
        <w:t>Promote Economic Opportunities</w:t>
      </w:r>
    </w:p>
    <w:p w:rsidR="00304893" w:rsidRPr="003B5D25" w:rsidRDefault="00304893" w:rsidP="00304893">
      <w:pPr>
        <w:autoSpaceDE w:val="0"/>
        <w:autoSpaceDN w:val="0"/>
        <w:adjustRightInd w:val="0"/>
        <w:spacing w:line="288" w:lineRule="auto"/>
        <w:rPr>
          <w:rFonts w:asciiTheme="majorHAnsi" w:hAnsiTheme="majorHAnsi" w:cs="Garamond"/>
        </w:rPr>
      </w:pPr>
    </w:p>
    <w:p w:rsidR="00496A1F" w:rsidRDefault="00496A1F" w:rsidP="00304893">
      <w:pPr>
        <w:autoSpaceDE w:val="0"/>
        <w:autoSpaceDN w:val="0"/>
        <w:adjustRightInd w:val="0"/>
        <w:spacing w:line="288" w:lineRule="auto"/>
        <w:rPr>
          <w:rFonts w:asciiTheme="majorHAnsi" w:hAnsiTheme="majorHAnsi" w:cstheme="minorHAnsi"/>
        </w:rPr>
      </w:pPr>
      <w:r>
        <w:rPr>
          <w:rFonts w:asciiTheme="majorHAnsi" w:hAnsiTheme="majorHAnsi" w:cstheme="minorHAnsi"/>
        </w:rPr>
        <w:t>CPSF’s strategic direction is also informed by the Mayor’s Climate Plan and the City’s Renewable Task Force Report.</w:t>
      </w:r>
    </w:p>
    <w:p w:rsidR="00496A1F" w:rsidRDefault="00496A1F" w:rsidP="00304893">
      <w:pPr>
        <w:autoSpaceDE w:val="0"/>
        <w:autoSpaceDN w:val="0"/>
        <w:adjustRightInd w:val="0"/>
        <w:spacing w:line="288" w:lineRule="auto"/>
        <w:rPr>
          <w:rFonts w:asciiTheme="majorHAnsi" w:hAnsiTheme="majorHAnsi" w:cstheme="minorHAnsi"/>
        </w:rPr>
      </w:pPr>
    </w:p>
    <w:p w:rsidR="00304893" w:rsidRPr="003B5D25" w:rsidRDefault="00304893" w:rsidP="00304893">
      <w:p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 xml:space="preserve">CPSF’s build out strategies would </w:t>
      </w:r>
      <w:r w:rsidR="00D60F0E" w:rsidRPr="003B5D25">
        <w:rPr>
          <w:rFonts w:asciiTheme="majorHAnsi" w:hAnsiTheme="majorHAnsi" w:cstheme="minorHAnsi"/>
        </w:rPr>
        <w:t xml:space="preserve">contribute to </w:t>
      </w:r>
      <w:r w:rsidRPr="003B5D25">
        <w:rPr>
          <w:rFonts w:asciiTheme="majorHAnsi" w:hAnsiTheme="majorHAnsi" w:cstheme="minorHAnsi"/>
        </w:rPr>
        <w:t xml:space="preserve">the </w:t>
      </w:r>
      <w:r w:rsidR="00D60F0E" w:rsidRPr="003B5D25">
        <w:rPr>
          <w:rFonts w:asciiTheme="majorHAnsi" w:hAnsiTheme="majorHAnsi" w:cstheme="minorHAnsi"/>
        </w:rPr>
        <w:t>implementation</w:t>
      </w:r>
      <w:r w:rsidRPr="003B5D25">
        <w:rPr>
          <w:rFonts w:asciiTheme="majorHAnsi" w:hAnsiTheme="majorHAnsi" w:cstheme="minorHAnsi"/>
        </w:rPr>
        <w:t xml:space="preserve"> of certain </w:t>
      </w:r>
      <w:r w:rsidR="00496A1F">
        <w:rPr>
          <w:rFonts w:asciiTheme="majorHAnsi" w:hAnsiTheme="majorHAnsi" w:cstheme="minorHAnsi"/>
        </w:rPr>
        <w:t xml:space="preserve">specific </w:t>
      </w:r>
      <w:r w:rsidRPr="003B5D25">
        <w:rPr>
          <w:rFonts w:asciiTheme="majorHAnsi" w:hAnsiTheme="majorHAnsi" w:cstheme="minorHAnsi"/>
        </w:rPr>
        <w:t xml:space="preserve">recommendations of the 2011 </w:t>
      </w:r>
      <w:r w:rsidR="00D60F0E" w:rsidRPr="003B5D25">
        <w:rPr>
          <w:rFonts w:asciiTheme="majorHAnsi" w:hAnsiTheme="majorHAnsi" w:cstheme="minorHAnsi"/>
        </w:rPr>
        <w:t>Electricity Resource Plan (</w:t>
      </w:r>
      <w:r w:rsidRPr="003B5D25">
        <w:rPr>
          <w:rFonts w:asciiTheme="majorHAnsi" w:hAnsiTheme="majorHAnsi" w:cstheme="minorHAnsi"/>
        </w:rPr>
        <w:t>ERP</w:t>
      </w:r>
      <w:r w:rsidR="00D60F0E" w:rsidRPr="003B5D25">
        <w:rPr>
          <w:rFonts w:asciiTheme="majorHAnsi" w:hAnsiTheme="majorHAnsi" w:cstheme="minorHAnsi"/>
        </w:rPr>
        <w:t>)</w:t>
      </w:r>
      <w:r w:rsidRPr="003B5D25">
        <w:rPr>
          <w:rFonts w:asciiTheme="majorHAnsi" w:hAnsiTheme="majorHAnsi" w:cstheme="minorHAnsi"/>
        </w:rPr>
        <w:t>, which are to:</w:t>
      </w:r>
    </w:p>
    <w:p w:rsidR="00304893" w:rsidRPr="003B5D25" w:rsidRDefault="00304893" w:rsidP="00304893">
      <w:pPr>
        <w:autoSpaceDE w:val="0"/>
        <w:autoSpaceDN w:val="0"/>
        <w:adjustRightInd w:val="0"/>
        <w:spacing w:line="288" w:lineRule="auto"/>
        <w:rPr>
          <w:rFonts w:asciiTheme="majorHAnsi" w:hAnsiTheme="majorHAnsi" w:cstheme="minorHAnsi"/>
        </w:rPr>
      </w:pPr>
    </w:p>
    <w:p w:rsidR="00304893" w:rsidRPr="003B5D25" w:rsidRDefault="00304893" w:rsidP="00304893">
      <w:pPr>
        <w:pStyle w:val="ListParagraph"/>
        <w:numPr>
          <w:ilvl w:val="0"/>
          <w:numId w:val="12"/>
        </w:num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Improve and expand energy efficiency programs in San Francisco</w:t>
      </w:r>
      <w:r w:rsidR="00D60F0E" w:rsidRPr="003B5D25">
        <w:rPr>
          <w:rFonts w:asciiTheme="majorHAnsi" w:hAnsiTheme="majorHAnsi" w:cstheme="minorHAnsi"/>
        </w:rPr>
        <w:t xml:space="preserve"> (Recommendation #1)</w:t>
      </w:r>
      <w:r w:rsidRPr="003B5D25">
        <w:rPr>
          <w:rFonts w:asciiTheme="majorHAnsi" w:hAnsiTheme="majorHAnsi" w:cstheme="minorHAnsi"/>
        </w:rPr>
        <w:t>.</w:t>
      </w:r>
    </w:p>
    <w:p w:rsidR="00304893" w:rsidRPr="003B5D25" w:rsidRDefault="00304893" w:rsidP="00304893">
      <w:pPr>
        <w:pStyle w:val="ListParagraph"/>
        <w:numPr>
          <w:ilvl w:val="0"/>
          <w:numId w:val="12"/>
        </w:num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Promote the development of behind-the-meter resources to create jobs and encourage the optimal combination of energy efficiency, on-site generation (e.g. on-site wind or solar as well as efficient, low emitting cogeneration) and load-shifting and demand response capability through smart-grid technology and energy storage</w:t>
      </w:r>
      <w:r w:rsidR="00D60F0E" w:rsidRPr="003B5D25">
        <w:rPr>
          <w:rFonts w:asciiTheme="majorHAnsi" w:hAnsiTheme="majorHAnsi" w:cstheme="minorHAnsi"/>
        </w:rPr>
        <w:t xml:space="preserve"> (Recommendation #2)</w:t>
      </w:r>
      <w:r w:rsidRPr="003B5D25">
        <w:rPr>
          <w:rFonts w:asciiTheme="majorHAnsi" w:hAnsiTheme="majorHAnsi" w:cstheme="minorHAnsi"/>
        </w:rPr>
        <w:t>.</w:t>
      </w:r>
    </w:p>
    <w:p w:rsidR="00304893" w:rsidRPr="003B5D25" w:rsidRDefault="00304893" w:rsidP="00304893">
      <w:pPr>
        <w:pStyle w:val="ListParagraph"/>
        <w:numPr>
          <w:ilvl w:val="0"/>
          <w:numId w:val="12"/>
        </w:num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Develop San Francisco as a “Green Test Bed” to promote and encourage the deployment of new energy technologies within the City and attract green energy firms to locate within the City, including finding alternate or new financing opportunities</w:t>
      </w:r>
      <w:r w:rsidR="00D60F0E" w:rsidRPr="003B5D25">
        <w:rPr>
          <w:rFonts w:asciiTheme="majorHAnsi" w:hAnsiTheme="majorHAnsi" w:cstheme="minorHAnsi"/>
        </w:rPr>
        <w:t xml:space="preserve"> (Recommendation #3)</w:t>
      </w:r>
      <w:r w:rsidRPr="003B5D25">
        <w:rPr>
          <w:rFonts w:asciiTheme="majorHAnsi" w:hAnsiTheme="majorHAnsi" w:cstheme="minorHAnsi"/>
        </w:rPr>
        <w:t>.</w:t>
      </w:r>
    </w:p>
    <w:p w:rsidR="00304893" w:rsidRPr="003B5D25" w:rsidRDefault="00304893" w:rsidP="00304893">
      <w:pPr>
        <w:pStyle w:val="ListParagraph"/>
        <w:numPr>
          <w:ilvl w:val="0"/>
          <w:numId w:val="12"/>
        </w:num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Advance and support Community Scale Energy Systems, both privately-owned as part of new development and through increased use of City-provided infrastructure where possible</w:t>
      </w:r>
      <w:r w:rsidR="00D60F0E" w:rsidRPr="003B5D25">
        <w:rPr>
          <w:rFonts w:asciiTheme="majorHAnsi" w:hAnsiTheme="majorHAnsi" w:cstheme="minorHAnsi"/>
        </w:rPr>
        <w:t xml:space="preserve"> (Recommendation #4)</w:t>
      </w:r>
      <w:r w:rsidRPr="003B5D25">
        <w:rPr>
          <w:rFonts w:asciiTheme="majorHAnsi" w:hAnsiTheme="majorHAnsi" w:cstheme="minorHAnsi"/>
        </w:rPr>
        <w:t>.</w:t>
      </w:r>
    </w:p>
    <w:p w:rsidR="00304893" w:rsidRPr="003B5D25" w:rsidRDefault="00304893" w:rsidP="00304893">
      <w:pPr>
        <w:pStyle w:val="ListParagraph"/>
        <w:numPr>
          <w:ilvl w:val="0"/>
          <w:numId w:val="12"/>
        </w:num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Promote back-up storage deployment as an alternative to the existing use of diesel and natural gas-powered back-up generation</w:t>
      </w:r>
      <w:r w:rsidR="00D60F0E" w:rsidRPr="003B5D25">
        <w:rPr>
          <w:rFonts w:asciiTheme="majorHAnsi" w:hAnsiTheme="majorHAnsi" w:cstheme="minorHAnsi"/>
        </w:rPr>
        <w:t xml:space="preserve"> (Recommendation #6)</w:t>
      </w:r>
      <w:r w:rsidRPr="003B5D25">
        <w:rPr>
          <w:rFonts w:asciiTheme="majorHAnsi" w:hAnsiTheme="majorHAnsi" w:cstheme="minorHAnsi"/>
        </w:rPr>
        <w:t>.</w:t>
      </w:r>
    </w:p>
    <w:p w:rsidR="0082457E" w:rsidRPr="003B5D25" w:rsidRDefault="0082457E" w:rsidP="00304893">
      <w:pPr>
        <w:pStyle w:val="ListParagraph"/>
        <w:numPr>
          <w:ilvl w:val="0"/>
          <w:numId w:val="12"/>
        </w:numPr>
        <w:autoSpaceDE w:val="0"/>
        <w:autoSpaceDN w:val="0"/>
        <w:adjustRightInd w:val="0"/>
        <w:spacing w:line="288" w:lineRule="auto"/>
        <w:rPr>
          <w:rFonts w:asciiTheme="majorHAnsi" w:hAnsiTheme="majorHAnsi" w:cstheme="minorHAnsi"/>
        </w:rPr>
      </w:pPr>
      <w:r w:rsidRPr="003B5D25">
        <w:rPr>
          <w:rFonts w:asciiTheme="majorHAnsi" w:hAnsiTheme="majorHAnsi" w:cstheme="minorHAnsi"/>
        </w:rPr>
        <w:t>Incorporate locally-developed renewable and GHG-free resources (including energy efficiency) into CPSF’s supply portfolio where feasible and cost-effective (Recommendation #7).</w:t>
      </w:r>
    </w:p>
    <w:p w:rsidR="00304893" w:rsidRPr="003B5D25" w:rsidRDefault="00304893" w:rsidP="00304893">
      <w:pPr>
        <w:pStyle w:val="ListParagraph"/>
        <w:autoSpaceDE w:val="0"/>
        <w:autoSpaceDN w:val="0"/>
        <w:adjustRightInd w:val="0"/>
        <w:spacing w:line="288" w:lineRule="auto"/>
        <w:rPr>
          <w:rFonts w:asciiTheme="majorHAnsi" w:hAnsiTheme="majorHAnsi" w:cstheme="minorHAnsi"/>
        </w:rPr>
      </w:pPr>
    </w:p>
    <w:p w:rsidR="00304893" w:rsidRPr="003B5D25" w:rsidRDefault="00304893" w:rsidP="00304893">
      <w:pPr>
        <w:spacing w:line="288" w:lineRule="auto"/>
        <w:rPr>
          <w:rFonts w:asciiTheme="majorHAnsi" w:hAnsiTheme="majorHAnsi"/>
          <w:bCs/>
        </w:rPr>
      </w:pPr>
      <w:r w:rsidRPr="003B5D25">
        <w:rPr>
          <w:rFonts w:asciiTheme="majorHAnsi" w:hAnsiTheme="majorHAnsi"/>
          <w:bCs/>
        </w:rPr>
        <w:t>“Build-Out” in the context of the CPSF program generally includes two components:  energy efficiency and locally-owned or controlled electricity resources.  Management of supplies and demand (</w:t>
      </w:r>
      <w:r w:rsidR="0082457E" w:rsidRPr="003B5D25">
        <w:rPr>
          <w:rFonts w:asciiTheme="majorHAnsi" w:hAnsiTheme="majorHAnsi"/>
          <w:bCs/>
        </w:rPr>
        <w:t>e.g.</w:t>
      </w:r>
      <w:r w:rsidRPr="003B5D25">
        <w:rPr>
          <w:rFonts w:asciiTheme="majorHAnsi" w:hAnsiTheme="majorHAnsi"/>
          <w:bCs/>
        </w:rPr>
        <w:t xml:space="preserve"> with technologies that control load curves) are included in these program components.</w:t>
      </w:r>
    </w:p>
    <w:p w:rsidR="00304893" w:rsidRPr="003B5D25" w:rsidRDefault="00304893" w:rsidP="00304893">
      <w:pPr>
        <w:spacing w:line="288" w:lineRule="auto"/>
        <w:rPr>
          <w:rFonts w:asciiTheme="majorHAnsi" w:hAnsiTheme="majorHAnsi"/>
          <w:bCs/>
        </w:rPr>
      </w:pPr>
    </w:p>
    <w:p w:rsidR="00304893" w:rsidRDefault="0082457E" w:rsidP="00785FDD">
      <w:pPr>
        <w:spacing w:line="288" w:lineRule="auto"/>
        <w:jc w:val="both"/>
        <w:rPr>
          <w:rFonts w:asciiTheme="majorHAnsi" w:hAnsiTheme="majorHAnsi"/>
          <w:bCs/>
        </w:rPr>
      </w:pPr>
      <w:r w:rsidRPr="003B5D25">
        <w:rPr>
          <w:rFonts w:asciiTheme="majorHAnsi" w:hAnsiTheme="majorHAnsi"/>
          <w:bCs/>
        </w:rPr>
        <w:t xml:space="preserve">CPSF </w:t>
      </w:r>
      <w:r w:rsidR="00304893" w:rsidRPr="003B5D25">
        <w:rPr>
          <w:rFonts w:asciiTheme="majorHAnsi" w:hAnsiTheme="majorHAnsi"/>
          <w:bCs/>
        </w:rPr>
        <w:t>has adopted a short term procurement strategy that relies primarily on market purchases from a procurement contractor, Shell Energy North America (SENA), for up to about 30</w:t>
      </w:r>
      <w:r w:rsidRPr="003B5D25">
        <w:rPr>
          <w:rFonts w:asciiTheme="majorHAnsi" w:hAnsiTheme="majorHAnsi"/>
          <w:bCs/>
        </w:rPr>
        <w:t xml:space="preserve"> megawatts (</w:t>
      </w:r>
      <w:r w:rsidR="00304893" w:rsidRPr="003B5D25">
        <w:rPr>
          <w:rFonts w:asciiTheme="majorHAnsi" w:hAnsiTheme="majorHAnsi"/>
          <w:bCs/>
        </w:rPr>
        <w:t>MW</w:t>
      </w:r>
      <w:r w:rsidRPr="003B5D25">
        <w:rPr>
          <w:rFonts w:asciiTheme="majorHAnsi" w:hAnsiTheme="majorHAnsi"/>
          <w:bCs/>
        </w:rPr>
        <w:t>)</w:t>
      </w:r>
      <w:r w:rsidR="00304893" w:rsidRPr="003B5D25">
        <w:rPr>
          <w:rFonts w:asciiTheme="majorHAnsi" w:hAnsiTheme="majorHAnsi"/>
          <w:bCs/>
        </w:rPr>
        <w:t>.  The City’s policy is for CPSF’s electricity supply portfolio to be 100% renewable at all times</w:t>
      </w:r>
      <w:r w:rsidRPr="003B5D25">
        <w:rPr>
          <w:rFonts w:asciiTheme="majorHAnsi" w:hAnsiTheme="majorHAnsi"/>
          <w:bCs/>
        </w:rPr>
        <w:t>,</w:t>
      </w:r>
      <w:r w:rsidR="00304893" w:rsidRPr="003B5D25">
        <w:rPr>
          <w:rFonts w:asciiTheme="majorHAnsi" w:hAnsiTheme="majorHAnsi"/>
          <w:bCs/>
        </w:rPr>
        <w:t xml:space="preserve"> whether CPSF </w:t>
      </w:r>
      <w:r w:rsidRPr="003B5D25">
        <w:rPr>
          <w:rFonts w:asciiTheme="majorHAnsi" w:hAnsiTheme="majorHAnsi"/>
          <w:bCs/>
        </w:rPr>
        <w:t>relies</w:t>
      </w:r>
      <w:r w:rsidR="00304893" w:rsidRPr="003B5D25">
        <w:rPr>
          <w:rFonts w:asciiTheme="majorHAnsi" w:hAnsiTheme="majorHAnsi"/>
          <w:bCs/>
        </w:rPr>
        <w:t xml:space="preserve"> exclusively on market purchases or as it develops a more diversified portfolio with local resources.  </w:t>
      </w:r>
    </w:p>
    <w:p w:rsidR="009B61ED" w:rsidRDefault="009B61ED" w:rsidP="00785FDD">
      <w:pPr>
        <w:spacing w:line="288" w:lineRule="auto"/>
        <w:jc w:val="both"/>
        <w:rPr>
          <w:rFonts w:asciiTheme="majorHAnsi" w:hAnsiTheme="majorHAnsi"/>
          <w:bCs/>
        </w:rPr>
      </w:pPr>
    </w:p>
    <w:p w:rsidR="009B61ED" w:rsidRDefault="009B61ED" w:rsidP="00785FDD">
      <w:pPr>
        <w:spacing w:line="288" w:lineRule="auto"/>
        <w:jc w:val="both"/>
        <w:rPr>
          <w:rFonts w:asciiTheme="majorHAnsi" w:hAnsiTheme="majorHAnsi"/>
          <w:bCs/>
        </w:rPr>
      </w:pPr>
    </w:p>
    <w:p w:rsidR="009B61ED" w:rsidRPr="003B5D25" w:rsidRDefault="009B61ED" w:rsidP="00785FDD">
      <w:pPr>
        <w:spacing w:line="288" w:lineRule="auto"/>
        <w:jc w:val="both"/>
        <w:rPr>
          <w:rFonts w:asciiTheme="majorHAnsi" w:hAnsiTheme="majorHAnsi"/>
          <w:bCs/>
        </w:rPr>
      </w:pPr>
    </w:p>
    <w:p w:rsidR="00E5753C" w:rsidRPr="003B5D25" w:rsidRDefault="00E5753C" w:rsidP="00073EA4">
      <w:pPr>
        <w:pStyle w:val="Heading1"/>
        <w:numPr>
          <w:ilvl w:val="0"/>
          <w:numId w:val="0"/>
        </w:numPr>
      </w:pPr>
    </w:p>
    <w:p w:rsidR="00E5753C" w:rsidRPr="003B5D25" w:rsidRDefault="00785FDD" w:rsidP="00073EA4">
      <w:pPr>
        <w:pStyle w:val="Heading1"/>
        <w:rPr>
          <w:spacing w:val="15"/>
        </w:rPr>
      </w:pPr>
      <w:r w:rsidRPr="003B5D25">
        <w:t>PROGRAM FUNDS AND COSTS</w:t>
      </w:r>
    </w:p>
    <w:p w:rsidR="00E5753C" w:rsidRPr="003B5D25" w:rsidRDefault="00E5753C" w:rsidP="00576E8D">
      <w:pPr>
        <w:rPr>
          <w:rFonts w:asciiTheme="majorHAnsi" w:hAnsiTheme="majorHAnsi"/>
          <w:b/>
          <w:i/>
          <w:u w:val="single"/>
        </w:rPr>
      </w:pPr>
    </w:p>
    <w:p w:rsidR="00AF74F4" w:rsidRPr="003B5D25" w:rsidRDefault="00AF74F4" w:rsidP="00AF74F4">
      <w:pPr>
        <w:spacing w:line="288" w:lineRule="auto"/>
        <w:rPr>
          <w:rFonts w:asciiTheme="majorHAnsi" w:hAnsiTheme="majorHAnsi"/>
          <w:bCs/>
        </w:rPr>
      </w:pPr>
      <w:r w:rsidRPr="003B5D25">
        <w:rPr>
          <w:rFonts w:asciiTheme="majorHAnsi" w:hAnsiTheme="majorHAnsi"/>
          <w:bCs/>
        </w:rPr>
        <w:t xml:space="preserve">In order to assure a sustainable program, CPSF must cover its costs with revenues from </w:t>
      </w:r>
      <w:r w:rsidR="00642D19" w:rsidRPr="003B5D25">
        <w:rPr>
          <w:rFonts w:asciiTheme="majorHAnsi" w:hAnsiTheme="majorHAnsi"/>
          <w:bCs/>
        </w:rPr>
        <w:t xml:space="preserve">participating </w:t>
      </w:r>
      <w:r w:rsidRPr="003B5D25">
        <w:rPr>
          <w:rFonts w:asciiTheme="majorHAnsi" w:hAnsiTheme="majorHAnsi"/>
          <w:bCs/>
        </w:rPr>
        <w:t>customer</w:t>
      </w:r>
      <w:r w:rsidR="00642D19" w:rsidRPr="003B5D25">
        <w:rPr>
          <w:rFonts w:asciiTheme="majorHAnsi" w:hAnsiTheme="majorHAnsi"/>
          <w:bCs/>
        </w:rPr>
        <w:t>s</w:t>
      </w:r>
      <w:r w:rsidRPr="003B5D25">
        <w:rPr>
          <w:rFonts w:asciiTheme="majorHAnsi" w:hAnsiTheme="majorHAnsi"/>
          <w:bCs/>
        </w:rPr>
        <w:t>.  The Commission’s “not-to-exceed” rate is intended to recover all</w:t>
      </w:r>
      <w:r w:rsidR="00642D19" w:rsidRPr="003B5D25">
        <w:rPr>
          <w:rFonts w:asciiTheme="majorHAnsi" w:hAnsiTheme="majorHAnsi"/>
          <w:bCs/>
        </w:rPr>
        <w:t xml:space="preserve"> on-going program</w:t>
      </w:r>
      <w:r w:rsidRPr="003B5D25">
        <w:rPr>
          <w:rFonts w:asciiTheme="majorHAnsi" w:hAnsiTheme="majorHAnsi"/>
          <w:bCs/>
        </w:rPr>
        <w:t xml:space="preserve"> costs and, in some scenarios, to collect funds that could be used to affect local build-out of energy resources.  The SENA contract pricing terms are designed to minimize the risk that CPSF customers will experience more than negligible price increases over the first four and a half years</w:t>
      </w:r>
      <w:r w:rsidR="00642D19" w:rsidRPr="003B5D25">
        <w:rPr>
          <w:rFonts w:asciiTheme="majorHAnsi" w:hAnsiTheme="majorHAnsi"/>
          <w:bCs/>
        </w:rPr>
        <w:t xml:space="preserve"> (Phase 1 of the program)</w:t>
      </w:r>
      <w:r w:rsidRPr="003B5D25">
        <w:rPr>
          <w:rFonts w:asciiTheme="majorHAnsi" w:hAnsiTheme="majorHAnsi"/>
          <w:bCs/>
        </w:rPr>
        <w:t xml:space="preserve">, effectively relieving SFPUC staff of managing procurement of market supplies and thereby permitting them to focus on local resource and program development. </w:t>
      </w:r>
    </w:p>
    <w:p w:rsidR="00AF74F4" w:rsidRPr="003B5D25" w:rsidRDefault="00AF74F4" w:rsidP="00AF74F4">
      <w:pPr>
        <w:spacing w:line="288" w:lineRule="auto"/>
        <w:rPr>
          <w:rFonts w:asciiTheme="majorHAnsi" w:hAnsiTheme="majorHAnsi"/>
          <w:bCs/>
        </w:rPr>
      </w:pPr>
    </w:p>
    <w:p w:rsidR="00AF74F4" w:rsidRPr="003B5D25" w:rsidRDefault="00642D19" w:rsidP="00AF74F4">
      <w:pPr>
        <w:spacing w:line="288" w:lineRule="auto"/>
        <w:rPr>
          <w:rFonts w:asciiTheme="majorHAnsi" w:hAnsiTheme="majorHAnsi"/>
          <w:bCs/>
        </w:rPr>
      </w:pPr>
      <w:r w:rsidRPr="003B5D25">
        <w:rPr>
          <w:rFonts w:asciiTheme="majorHAnsi" w:hAnsiTheme="majorHAnsi"/>
          <w:bCs/>
        </w:rPr>
        <w:t xml:space="preserve">During Phase 1, CPSF expects to </w:t>
      </w:r>
      <w:r w:rsidR="00AF74F4" w:rsidRPr="003B5D25">
        <w:rPr>
          <w:rFonts w:asciiTheme="majorHAnsi" w:hAnsiTheme="majorHAnsi"/>
          <w:bCs/>
        </w:rPr>
        <w:t>have the following sources of funding for build-out efforts:</w:t>
      </w:r>
    </w:p>
    <w:p w:rsidR="00AF74F4" w:rsidRPr="003B5D25" w:rsidRDefault="00642D19" w:rsidP="00AF74F4">
      <w:pPr>
        <w:pStyle w:val="ListParagraph"/>
        <w:numPr>
          <w:ilvl w:val="0"/>
          <w:numId w:val="13"/>
        </w:numPr>
        <w:spacing w:line="288" w:lineRule="auto"/>
        <w:rPr>
          <w:rFonts w:asciiTheme="majorHAnsi" w:hAnsiTheme="majorHAnsi"/>
          <w:bCs/>
        </w:rPr>
      </w:pPr>
      <w:r w:rsidRPr="003B5D25">
        <w:rPr>
          <w:rFonts w:asciiTheme="majorHAnsi" w:hAnsiTheme="majorHAnsi"/>
          <w:bCs/>
        </w:rPr>
        <w:t xml:space="preserve">An allocation by the City of </w:t>
      </w:r>
      <w:r w:rsidR="00AF74F4" w:rsidRPr="003B5D25">
        <w:rPr>
          <w:rFonts w:asciiTheme="majorHAnsi" w:hAnsiTheme="majorHAnsi"/>
          <w:bCs/>
        </w:rPr>
        <w:t>$2 million to supplement the existing GoSolar</w:t>
      </w:r>
      <w:r w:rsidRPr="003B5D25">
        <w:rPr>
          <w:rFonts w:asciiTheme="majorHAnsi" w:hAnsiTheme="majorHAnsi"/>
          <w:bCs/>
        </w:rPr>
        <w:t>SF</w:t>
      </w:r>
      <w:r w:rsidR="00AF74F4" w:rsidRPr="003B5D25">
        <w:rPr>
          <w:rFonts w:asciiTheme="majorHAnsi" w:hAnsiTheme="majorHAnsi"/>
          <w:bCs/>
        </w:rPr>
        <w:t xml:space="preserve"> program</w:t>
      </w:r>
      <w:r w:rsidRPr="003B5D25">
        <w:rPr>
          <w:rFonts w:asciiTheme="majorHAnsi" w:hAnsiTheme="majorHAnsi"/>
          <w:bCs/>
        </w:rPr>
        <w:t>, with priority given to</w:t>
      </w:r>
      <w:r w:rsidR="00AF74F4" w:rsidRPr="003B5D25">
        <w:rPr>
          <w:rFonts w:asciiTheme="majorHAnsi" w:hAnsiTheme="majorHAnsi"/>
          <w:bCs/>
        </w:rPr>
        <w:t xml:space="preserve"> low income </w:t>
      </w:r>
      <w:r w:rsidRPr="003B5D25">
        <w:rPr>
          <w:rFonts w:asciiTheme="majorHAnsi" w:hAnsiTheme="majorHAnsi"/>
          <w:bCs/>
        </w:rPr>
        <w:t>CPSF customers (available at launch)</w:t>
      </w:r>
      <w:r w:rsidR="00C52288" w:rsidRPr="003B5D25">
        <w:rPr>
          <w:rFonts w:asciiTheme="majorHAnsi" w:hAnsiTheme="majorHAnsi"/>
          <w:bCs/>
        </w:rPr>
        <w:t>.</w:t>
      </w:r>
      <w:r w:rsidR="009F7C88" w:rsidRPr="003B5D25">
        <w:rPr>
          <w:rStyle w:val="FootnoteReference"/>
          <w:rFonts w:asciiTheme="majorHAnsi" w:hAnsiTheme="majorHAnsi"/>
          <w:bCs/>
        </w:rPr>
        <w:footnoteReference w:id="1"/>
      </w:r>
    </w:p>
    <w:p w:rsidR="00AF74F4" w:rsidRPr="003B5D25" w:rsidRDefault="00642D19" w:rsidP="00AF74F4">
      <w:pPr>
        <w:pStyle w:val="ListParagraph"/>
        <w:numPr>
          <w:ilvl w:val="0"/>
          <w:numId w:val="13"/>
        </w:numPr>
        <w:spacing w:line="288" w:lineRule="auto"/>
        <w:rPr>
          <w:rFonts w:asciiTheme="majorHAnsi" w:hAnsiTheme="majorHAnsi"/>
          <w:bCs/>
        </w:rPr>
      </w:pPr>
      <w:r w:rsidRPr="003B5D25">
        <w:rPr>
          <w:rFonts w:asciiTheme="majorHAnsi" w:hAnsiTheme="majorHAnsi"/>
          <w:bCs/>
        </w:rPr>
        <w:t xml:space="preserve">An allocation by the City of </w:t>
      </w:r>
      <w:r w:rsidR="00AF74F4" w:rsidRPr="003B5D25">
        <w:rPr>
          <w:rFonts w:asciiTheme="majorHAnsi" w:hAnsiTheme="majorHAnsi"/>
          <w:bCs/>
        </w:rPr>
        <w:t>$2 million for energy efficiency improvements</w:t>
      </w:r>
      <w:r w:rsidR="00C52288" w:rsidRPr="003B5D25">
        <w:rPr>
          <w:rFonts w:asciiTheme="majorHAnsi" w:hAnsiTheme="majorHAnsi"/>
          <w:bCs/>
        </w:rPr>
        <w:t>, with priority given to</w:t>
      </w:r>
      <w:r w:rsidR="00AF74F4" w:rsidRPr="003B5D25">
        <w:rPr>
          <w:rFonts w:asciiTheme="majorHAnsi" w:hAnsiTheme="majorHAnsi"/>
          <w:bCs/>
        </w:rPr>
        <w:t xml:space="preserve"> </w:t>
      </w:r>
      <w:r w:rsidRPr="003B5D25">
        <w:rPr>
          <w:rFonts w:asciiTheme="majorHAnsi" w:hAnsiTheme="majorHAnsi"/>
          <w:bCs/>
        </w:rPr>
        <w:t xml:space="preserve">low income </w:t>
      </w:r>
      <w:r w:rsidR="00C52288" w:rsidRPr="003B5D25">
        <w:rPr>
          <w:rFonts w:asciiTheme="majorHAnsi" w:hAnsiTheme="majorHAnsi"/>
          <w:bCs/>
        </w:rPr>
        <w:t xml:space="preserve">CPSF customers </w:t>
      </w:r>
      <w:r w:rsidRPr="003B5D25">
        <w:rPr>
          <w:rFonts w:asciiTheme="majorHAnsi" w:hAnsiTheme="majorHAnsi"/>
          <w:bCs/>
        </w:rPr>
        <w:t>(available at launch)</w:t>
      </w:r>
      <w:r w:rsidR="00C52288" w:rsidRPr="003B5D25">
        <w:rPr>
          <w:rFonts w:asciiTheme="majorHAnsi" w:hAnsiTheme="majorHAnsi"/>
          <w:bCs/>
        </w:rPr>
        <w:t>.</w:t>
      </w:r>
      <w:r w:rsidR="009F7C88" w:rsidRPr="003B5D25">
        <w:rPr>
          <w:rStyle w:val="FootnoteReference"/>
          <w:rFonts w:asciiTheme="majorHAnsi" w:hAnsiTheme="majorHAnsi"/>
          <w:bCs/>
        </w:rPr>
        <w:footnoteReference w:id="2"/>
      </w:r>
    </w:p>
    <w:p w:rsidR="00AF74F4" w:rsidRPr="003B5D25" w:rsidRDefault="00642D19" w:rsidP="00AF74F4">
      <w:pPr>
        <w:pStyle w:val="ListParagraph"/>
        <w:numPr>
          <w:ilvl w:val="0"/>
          <w:numId w:val="13"/>
        </w:numPr>
        <w:spacing w:line="288" w:lineRule="auto"/>
        <w:rPr>
          <w:rFonts w:asciiTheme="majorHAnsi" w:hAnsiTheme="majorHAnsi"/>
          <w:bCs/>
        </w:rPr>
      </w:pPr>
      <w:r w:rsidRPr="003B5D25">
        <w:rPr>
          <w:rFonts w:asciiTheme="majorHAnsi" w:hAnsiTheme="majorHAnsi"/>
          <w:bCs/>
        </w:rPr>
        <w:t xml:space="preserve">An allocation by the City of </w:t>
      </w:r>
      <w:r w:rsidR="00AF74F4" w:rsidRPr="003B5D25">
        <w:rPr>
          <w:rFonts w:asciiTheme="majorHAnsi" w:hAnsiTheme="majorHAnsi"/>
          <w:bCs/>
        </w:rPr>
        <w:t xml:space="preserve">$2 million </w:t>
      </w:r>
      <w:r w:rsidR="00C52288" w:rsidRPr="003B5D25">
        <w:rPr>
          <w:rFonts w:asciiTheme="majorHAnsi" w:hAnsiTheme="majorHAnsi"/>
          <w:bCs/>
        </w:rPr>
        <w:t>to facilitate studies related to</w:t>
      </w:r>
      <w:r w:rsidR="00AF74F4" w:rsidRPr="003B5D25">
        <w:rPr>
          <w:rFonts w:asciiTheme="majorHAnsi" w:hAnsiTheme="majorHAnsi"/>
          <w:bCs/>
        </w:rPr>
        <w:t xml:space="preserve"> build-out </w:t>
      </w:r>
      <w:r w:rsidR="00C52288" w:rsidRPr="003B5D25">
        <w:rPr>
          <w:rFonts w:asciiTheme="majorHAnsi" w:hAnsiTheme="majorHAnsi"/>
          <w:bCs/>
        </w:rPr>
        <w:t xml:space="preserve">activities </w:t>
      </w:r>
      <w:r w:rsidRPr="003B5D25">
        <w:rPr>
          <w:rFonts w:asciiTheme="majorHAnsi" w:hAnsiTheme="majorHAnsi"/>
          <w:bCs/>
        </w:rPr>
        <w:t>(available at launch)</w:t>
      </w:r>
      <w:r w:rsidR="00C52288" w:rsidRPr="003B5D25">
        <w:rPr>
          <w:rFonts w:asciiTheme="majorHAnsi" w:hAnsiTheme="majorHAnsi"/>
          <w:bCs/>
        </w:rPr>
        <w:t>.</w:t>
      </w:r>
      <w:r w:rsidR="009F7C88" w:rsidRPr="003B5D25">
        <w:rPr>
          <w:rStyle w:val="FootnoteReference"/>
          <w:rFonts w:asciiTheme="majorHAnsi" w:hAnsiTheme="majorHAnsi"/>
          <w:bCs/>
        </w:rPr>
        <w:footnoteReference w:id="3"/>
      </w:r>
    </w:p>
    <w:p w:rsidR="00AF74F4" w:rsidRPr="003B5D25" w:rsidRDefault="00AF74F4" w:rsidP="00AF74F4">
      <w:pPr>
        <w:pStyle w:val="ListParagraph"/>
        <w:numPr>
          <w:ilvl w:val="0"/>
          <w:numId w:val="14"/>
        </w:numPr>
        <w:spacing w:line="288" w:lineRule="auto"/>
        <w:rPr>
          <w:rFonts w:asciiTheme="majorHAnsi" w:hAnsiTheme="majorHAnsi"/>
          <w:bCs/>
        </w:rPr>
      </w:pPr>
      <w:r w:rsidRPr="003B5D25">
        <w:rPr>
          <w:rFonts w:asciiTheme="majorHAnsi" w:hAnsiTheme="majorHAnsi"/>
          <w:bCs/>
        </w:rPr>
        <w:t xml:space="preserve">Collected reserves </w:t>
      </w:r>
      <w:r w:rsidR="00642D19" w:rsidRPr="003B5D25">
        <w:rPr>
          <w:rFonts w:asciiTheme="majorHAnsi" w:hAnsiTheme="majorHAnsi"/>
          <w:bCs/>
        </w:rPr>
        <w:t xml:space="preserve">from customer billings </w:t>
      </w:r>
      <w:r w:rsidRPr="003B5D25">
        <w:rPr>
          <w:rFonts w:asciiTheme="majorHAnsi" w:hAnsiTheme="majorHAnsi"/>
          <w:bCs/>
        </w:rPr>
        <w:t>estimated to be $.</w:t>
      </w:r>
      <w:r w:rsidR="00C52288" w:rsidRPr="003B5D25">
        <w:rPr>
          <w:rFonts w:asciiTheme="majorHAnsi" w:hAnsiTheme="majorHAnsi"/>
          <w:bCs/>
        </w:rPr>
        <w:t>0</w:t>
      </w:r>
      <w:r w:rsidRPr="003B5D25">
        <w:rPr>
          <w:rFonts w:asciiTheme="majorHAnsi" w:hAnsiTheme="majorHAnsi"/>
          <w:bCs/>
        </w:rPr>
        <w:t>5 million</w:t>
      </w:r>
      <w:r w:rsidR="00C52288" w:rsidRPr="003B5D25">
        <w:rPr>
          <w:rFonts w:asciiTheme="majorHAnsi" w:hAnsiTheme="majorHAnsi"/>
          <w:bCs/>
        </w:rPr>
        <w:t>-</w:t>
      </w:r>
      <w:r w:rsidRPr="003B5D25">
        <w:rPr>
          <w:rFonts w:asciiTheme="majorHAnsi" w:hAnsiTheme="majorHAnsi"/>
          <w:bCs/>
        </w:rPr>
        <w:t xml:space="preserve">$4 million </w:t>
      </w:r>
      <w:r w:rsidR="00C52288" w:rsidRPr="003B5D25">
        <w:rPr>
          <w:rFonts w:asciiTheme="majorHAnsi" w:hAnsiTheme="majorHAnsi"/>
          <w:bCs/>
        </w:rPr>
        <w:t xml:space="preserve">(available </w:t>
      </w:r>
      <w:r w:rsidRPr="003B5D25">
        <w:rPr>
          <w:rFonts w:asciiTheme="majorHAnsi" w:hAnsiTheme="majorHAnsi"/>
          <w:bCs/>
        </w:rPr>
        <w:t>annually</w:t>
      </w:r>
      <w:r w:rsidR="00C52288" w:rsidRPr="003B5D25">
        <w:rPr>
          <w:rFonts w:asciiTheme="majorHAnsi" w:hAnsiTheme="majorHAnsi"/>
          <w:bCs/>
        </w:rPr>
        <w:t>).</w:t>
      </w:r>
    </w:p>
    <w:p w:rsidR="00AF74F4" w:rsidRPr="003B5D25" w:rsidRDefault="00AF74F4" w:rsidP="00AF74F4">
      <w:pPr>
        <w:pStyle w:val="ListParagraph"/>
        <w:numPr>
          <w:ilvl w:val="0"/>
          <w:numId w:val="14"/>
        </w:numPr>
        <w:spacing w:line="288" w:lineRule="auto"/>
        <w:rPr>
          <w:rFonts w:asciiTheme="majorHAnsi" w:hAnsiTheme="majorHAnsi"/>
          <w:bCs/>
        </w:rPr>
      </w:pPr>
      <w:r w:rsidRPr="003B5D25">
        <w:rPr>
          <w:rFonts w:asciiTheme="majorHAnsi" w:hAnsiTheme="majorHAnsi"/>
          <w:bCs/>
        </w:rPr>
        <w:t>Funds from bonds in unspecified amounts</w:t>
      </w:r>
      <w:r w:rsidR="00642D19" w:rsidRPr="003B5D25">
        <w:rPr>
          <w:rFonts w:asciiTheme="majorHAnsi" w:hAnsiTheme="majorHAnsi"/>
          <w:bCs/>
        </w:rPr>
        <w:t xml:space="preserve">, up to an estimated $200 million, </w:t>
      </w:r>
      <w:r w:rsidRPr="003B5D25">
        <w:rPr>
          <w:rFonts w:asciiTheme="majorHAnsi" w:hAnsiTheme="majorHAnsi"/>
          <w:bCs/>
        </w:rPr>
        <w:t>depending on program revenues and strategies</w:t>
      </w:r>
      <w:r w:rsidR="00642D19" w:rsidRPr="003B5D25">
        <w:rPr>
          <w:rFonts w:asciiTheme="majorHAnsi" w:hAnsiTheme="majorHAnsi"/>
          <w:bCs/>
        </w:rPr>
        <w:t xml:space="preserve"> (potentially available in the third program year and beyond)</w:t>
      </w:r>
      <w:r w:rsidR="00C52288" w:rsidRPr="003B5D25">
        <w:rPr>
          <w:rFonts w:asciiTheme="majorHAnsi" w:hAnsiTheme="majorHAnsi"/>
          <w:bCs/>
        </w:rPr>
        <w:t>.</w:t>
      </w:r>
    </w:p>
    <w:p w:rsidR="00496A1F" w:rsidRDefault="00496A1F" w:rsidP="00AF74F4">
      <w:pPr>
        <w:spacing w:line="288" w:lineRule="auto"/>
        <w:rPr>
          <w:rFonts w:asciiTheme="majorHAnsi" w:hAnsiTheme="majorHAnsi"/>
          <w:bCs/>
        </w:rPr>
      </w:pPr>
    </w:p>
    <w:p w:rsidR="00AF74F4" w:rsidRDefault="00AF74F4" w:rsidP="00AF74F4">
      <w:pPr>
        <w:spacing w:line="288" w:lineRule="auto"/>
        <w:rPr>
          <w:rFonts w:asciiTheme="majorHAnsi" w:hAnsiTheme="majorHAnsi"/>
          <w:bCs/>
        </w:rPr>
      </w:pPr>
      <w:r w:rsidRPr="003B5D25">
        <w:rPr>
          <w:rFonts w:asciiTheme="majorHAnsi" w:hAnsiTheme="majorHAnsi"/>
          <w:bCs/>
        </w:rPr>
        <w:t xml:space="preserve">In addition to the funds available specifically for build-out efforts, CPSF may purchase local electricity supplies using the revenues streams from customers to either (1) supplement market purchases under the SENA contract or (2) add additional customers to the program.  The success of this strategy will depend on the relative prices of market supplies and local (smaller) energy facilities. </w:t>
      </w:r>
    </w:p>
    <w:p w:rsidR="009B61ED" w:rsidRDefault="009B61ED" w:rsidP="00AF74F4">
      <w:pPr>
        <w:spacing w:line="288" w:lineRule="auto"/>
        <w:rPr>
          <w:rFonts w:asciiTheme="majorHAnsi" w:hAnsiTheme="majorHAnsi"/>
          <w:bCs/>
        </w:rPr>
      </w:pPr>
    </w:p>
    <w:p w:rsidR="009B61ED" w:rsidRPr="003B5D25" w:rsidRDefault="009B61ED" w:rsidP="00AF74F4">
      <w:pPr>
        <w:spacing w:line="288" w:lineRule="auto"/>
        <w:rPr>
          <w:rFonts w:asciiTheme="majorHAnsi" w:hAnsiTheme="majorHAnsi"/>
          <w:bCs/>
        </w:rPr>
      </w:pPr>
    </w:p>
    <w:p w:rsidR="00E5753C" w:rsidRPr="003B5D25" w:rsidRDefault="00E5753C" w:rsidP="00073EA4">
      <w:pPr>
        <w:pStyle w:val="Heading1"/>
        <w:numPr>
          <w:ilvl w:val="0"/>
          <w:numId w:val="0"/>
        </w:numPr>
      </w:pPr>
    </w:p>
    <w:p w:rsidR="00E5753C" w:rsidRPr="003B5D25" w:rsidRDefault="00C52288" w:rsidP="00073EA4">
      <w:pPr>
        <w:pStyle w:val="Heading1"/>
        <w:rPr>
          <w:color w:val="000000"/>
          <w14:textFill>
            <w14:solidFill>
              <w14:srgbClr w14:val="000000">
                <w14:lumMod w14:val="65000"/>
                <w14:lumOff w14:val="35000"/>
              </w14:srgbClr>
            </w14:solidFill>
          </w14:textFill>
        </w:rPr>
      </w:pPr>
      <w:r w:rsidRPr="003B5D25">
        <w:t>CRITERIA FOR EVALUATING STRATEGY OPTIONS</w:t>
      </w:r>
    </w:p>
    <w:p w:rsidR="00BD315D" w:rsidRPr="003B5D25" w:rsidRDefault="00BD315D" w:rsidP="004A7D79">
      <w:pPr>
        <w:jc w:val="both"/>
        <w:rPr>
          <w:rFonts w:asciiTheme="majorHAnsi" w:hAnsiTheme="majorHAnsi" w:cs="PalatinoLinotype-Roman"/>
        </w:rPr>
      </w:pPr>
    </w:p>
    <w:p w:rsidR="00C52288" w:rsidRPr="003B5D25" w:rsidRDefault="00C52288" w:rsidP="00C52288">
      <w:pPr>
        <w:spacing w:line="288" w:lineRule="auto"/>
        <w:rPr>
          <w:rFonts w:asciiTheme="majorHAnsi" w:hAnsiTheme="majorHAnsi"/>
          <w:bCs/>
        </w:rPr>
      </w:pPr>
      <w:r w:rsidRPr="003B5D25">
        <w:rPr>
          <w:rFonts w:asciiTheme="majorHAnsi" w:hAnsiTheme="majorHAnsi"/>
          <w:bCs/>
        </w:rPr>
        <w:t>CPSF staff will develop and pursue build-out strategies on the basis of how these strategies serve explicit program goals adopted by the Board of Supervisors and the Commission on behalf of the community, and whether they contribute to the sustainability of CPSF. More specifically, the criteria for evaluation will include (in no particular order):</w:t>
      </w:r>
    </w:p>
    <w:p w:rsidR="00C52288" w:rsidRPr="003B5D25" w:rsidRDefault="00C52288" w:rsidP="00C52288">
      <w:pPr>
        <w:spacing w:line="288" w:lineRule="auto"/>
        <w:rPr>
          <w:rFonts w:asciiTheme="majorHAnsi" w:hAnsiTheme="majorHAnsi"/>
          <w:bCs/>
        </w:rPr>
      </w:pPr>
    </w:p>
    <w:p w:rsidR="00C52288" w:rsidRPr="003B5D25" w:rsidRDefault="00C52288" w:rsidP="00C52288">
      <w:pPr>
        <w:pStyle w:val="ListParagraph"/>
        <w:numPr>
          <w:ilvl w:val="0"/>
          <w:numId w:val="15"/>
        </w:numPr>
        <w:spacing w:line="288" w:lineRule="auto"/>
        <w:rPr>
          <w:rFonts w:asciiTheme="majorHAnsi" w:hAnsiTheme="majorHAnsi"/>
          <w:bCs/>
        </w:rPr>
      </w:pPr>
      <w:r w:rsidRPr="003B5D25">
        <w:rPr>
          <w:rFonts w:asciiTheme="majorHAnsi" w:hAnsiTheme="majorHAnsi"/>
          <w:bCs/>
        </w:rPr>
        <w:t>Customer Service Quality and Benefit – Provi</w:t>
      </w:r>
      <w:r w:rsidR="009D5945" w:rsidRPr="003B5D25">
        <w:rPr>
          <w:rFonts w:asciiTheme="majorHAnsi" w:hAnsiTheme="majorHAnsi"/>
          <w:bCs/>
        </w:rPr>
        <w:t>sion of</w:t>
      </w:r>
      <w:r w:rsidRPr="003B5D25">
        <w:rPr>
          <w:rFonts w:asciiTheme="majorHAnsi" w:hAnsiTheme="majorHAnsi"/>
          <w:bCs/>
        </w:rPr>
        <w:t xml:space="preserve"> reliable energy services according to the needs of CPSF customers as well as non-participating residents and businesses;</w:t>
      </w:r>
    </w:p>
    <w:p w:rsidR="00C52288" w:rsidRPr="003B5D25" w:rsidRDefault="00C52288" w:rsidP="00C52288">
      <w:pPr>
        <w:pStyle w:val="ListParagraph"/>
        <w:numPr>
          <w:ilvl w:val="0"/>
          <w:numId w:val="15"/>
        </w:numPr>
        <w:spacing w:line="288" w:lineRule="auto"/>
        <w:rPr>
          <w:rFonts w:asciiTheme="majorHAnsi" w:hAnsiTheme="majorHAnsi"/>
          <w:bCs/>
        </w:rPr>
      </w:pPr>
      <w:r w:rsidRPr="003B5D25">
        <w:rPr>
          <w:rFonts w:asciiTheme="majorHAnsi" w:hAnsiTheme="majorHAnsi"/>
          <w:bCs/>
        </w:rPr>
        <w:t>Community Support – Assur</w:t>
      </w:r>
      <w:r w:rsidR="009D5945" w:rsidRPr="003B5D25">
        <w:rPr>
          <w:rFonts w:asciiTheme="majorHAnsi" w:hAnsiTheme="majorHAnsi"/>
          <w:bCs/>
        </w:rPr>
        <w:t>ance that</w:t>
      </w:r>
      <w:r w:rsidR="00073EA4">
        <w:rPr>
          <w:rFonts w:asciiTheme="majorHAnsi" w:hAnsiTheme="majorHAnsi"/>
          <w:bCs/>
        </w:rPr>
        <w:t xml:space="preserve"> strategies and</w:t>
      </w:r>
      <w:r w:rsidRPr="003B5D25">
        <w:rPr>
          <w:rFonts w:asciiTheme="majorHAnsi" w:hAnsiTheme="majorHAnsi"/>
          <w:bCs/>
        </w:rPr>
        <w:t xml:space="preserve"> implicit program values are consistent with the community</w:t>
      </w:r>
      <w:r w:rsidR="00073EA4">
        <w:rPr>
          <w:rFonts w:asciiTheme="majorHAnsi" w:hAnsiTheme="majorHAnsi"/>
          <w:bCs/>
        </w:rPr>
        <w:t>’s interests</w:t>
      </w:r>
      <w:r w:rsidRPr="003B5D25">
        <w:rPr>
          <w:rFonts w:asciiTheme="majorHAnsi" w:hAnsiTheme="majorHAnsi"/>
          <w:bCs/>
        </w:rPr>
        <w:t>;</w:t>
      </w:r>
    </w:p>
    <w:p w:rsidR="00C52288" w:rsidRPr="003B5D25" w:rsidRDefault="00C52288" w:rsidP="00C52288">
      <w:pPr>
        <w:pStyle w:val="ListParagraph"/>
        <w:numPr>
          <w:ilvl w:val="0"/>
          <w:numId w:val="15"/>
        </w:numPr>
        <w:spacing w:line="288" w:lineRule="auto"/>
        <w:rPr>
          <w:rFonts w:asciiTheme="majorHAnsi" w:hAnsiTheme="majorHAnsi"/>
          <w:bCs/>
        </w:rPr>
      </w:pPr>
      <w:r w:rsidRPr="003B5D25">
        <w:rPr>
          <w:rFonts w:asciiTheme="majorHAnsi" w:hAnsiTheme="majorHAnsi"/>
          <w:bCs/>
        </w:rPr>
        <w:t>Environmental Impact –</w:t>
      </w:r>
      <w:r w:rsidR="009D5945" w:rsidRPr="003B5D25">
        <w:rPr>
          <w:rFonts w:asciiTheme="majorHAnsi" w:hAnsiTheme="majorHAnsi"/>
          <w:bCs/>
        </w:rPr>
        <w:t xml:space="preserve"> Achieving </w:t>
      </w:r>
      <w:r w:rsidRPr="003B5D25">
        <w:rPr>
          <w:rFonts w:asciiTheme="majorHAnsi" w:hAnsiTheme="majorHAnsi"/>
          <w:bCs/>
        </w:rPr>
        <w:t>greenhouse gas</w:t>
      </w:r>
      <w:r w:rsidR="009470FF" w:rsidRPr="003B5D25">
        <w:rPr>
          <w:rFonts w:asciiTheme="majorHAnsi" w:hAnsiTheme="majorHAnsi"/>
          <w:bCs/>
        </w:rPr>
        <w:t xml:space="preserve"> (GHG)</w:t>
      </w:r>
      <w:r w:rsidRPr="003B5D25">
        <w:rPr>
          <w:rFonts w:asciiTheme="majorHAnsi" w:hAnsiTheme="majorHAnsi"/>
          <w:bCs/>
        </w:rPr>
        <w:t xml:space="preserve"> reductions</w:t>
      </w:r>
      <w:r w:rsidR="00073EA4">
        <w:rPr>
          <w:rFonts w:asciiTheme="majorHAnsi" w:hAnsiTheme="majorHAnsi"/>
          <w:bCs/>
        </w:rPr>
        <w:t>, supporting goals related to clean air, clean water and sound land use</w:t>
      </w:r>
      <w:r w:rsidRPr="003B5D25">
        <w:rPr>
          <w:rFonts w:asciiTheme="majorHAnsi" w:hAnsiTheme="majorHAnsi"/>
          <w:bCs/>
        </w:rPr>
        <w:t xml:space="preserve">; </w:t>
      </w:r>
    </w:p>
    <w:p w:rsidR="00C52288" w:rsidRPr="003B5D25" w:rsidRDefault="00C52288" w:rsidP="00C52288">
      <w:pPr>
        <w:pStyle w:val="ListParagraph"/>
        <w:numPr>
          <w:ilvl w:val="0"/>
          <w:numId w:val="15"/>
        </w:numPr>
        <w:spacing w:line="288" w:lineRule="auto"/>
        <w:rPr>
          <w:rFonts w:asciiTheme="majorHAnsi" w:hAnsiTheme="majorHAnsi"/>
          <w:bCs/>
        </w:rPr>
      </w:pPr>
      <w:r w:rsidRPr="003B5D25">
        <w:rPr>
          <w:rFonts w:asciiTheme="majorHAnsi" w:hAnsiTheme="majorHAnsi"/>
          <w:bCs/>
        </w:rPr>
        <w:t>Bill and Rate Impacts –</w:t>
      </w:r>
      <w:r w:rsidR="009D5945" w:rsidRPr="003B5D25">
        <w:rPr>
          <w:rFonts w:asciiTheme="majorHAnsi" w:hAnsiTheme="majorHAnsi"/>
          <w:bCs/>
        </w:rPr>
        <w:t xml:space="preserve"> R</w:t>
      </w:r>
      <w:r w:rsidRPr="003B5D25">
        <w:rPr>
          <w:rFonts w:asciiTheme="majorHAnsi" w:hAnsiTheme="majorHAnsi"/>
          <w:bCs/>
        </w:rPr>
        <w:t>e</w:t>
      </w:r>
      <w:r w:rsidR="00073EA4">
        <w:rPr>
          <w:rFonts w:asciiTheme="majorHAnsi" w:hAnsiTheme="majorHAnsi"/>
          <w:bCs/>
        </w:rPr>
        <w:t>asonable rates and</w:t>
      </w:r>
      <w:r w:rsidRPr="003B5D25">
        <w:rPr>
          <w:rFonts w:asciiTheme="majorHAnsi" w:hAnsiTheme="majorHAnsi"/>
          <w:bCs/>
        </w:rPr>
        <w:t xml:space="preserve"> electric bills;</w:t>
      </w:r>
    </w:p>
    <w:p w:rsidR="00C52288" w:rsidRPr="003B5D25" w:rsidRDefault="00496A1F" w:rsidP="00C52288">
      <w:pPr>
        <w:pStyle w:val="ListParagraph"/>
        <w:numPr>
          <w:ilvl w:val="0"/>
          <w:numId w:val="15"/>
        </w:numPr>
        <w:spacing w:line="288" w:lineRule="auto"/>
        <w:rPr>
          <w:rFonts w:asciiTheme="majorHAnsi" w:hAnsiTheme="majorHAnsi"/>
          <w:bCs/>
        </w:rPr>
      </w:pPr>
      <w:r>
        <w:rPr>
          <w:rFonts w:asciiTheme="majorHAnsi" w:hAnsiTheme="majorHAnsi"/>
          <w:bCs/>
        </w:rPr>
        <w:t xml:space="preserve">Environmental Justice and </w:t>
      </w:r>
      <w:r w:rsidR="00C52288" w:rsidRPr="003B5D25">
        <w:rPr>
          <w:rFonts w:asciiTheme="majorHAnsi" w:hAnsiTheme="majorHAnsi"/>
          <w:bCs/>
        </w:rPr>
        <w:t>Fairness –</w:t>
      </w:r>
      <w:r w:rsidR="009D5945" w:rsidRPr="003B5D25">
        <w:rPr>
          <w:rFonts w:asciiTheme="majorHAnsi" w:hAnsiTheme="majorHAnsi"/>
          <w:bCs/>
        </w:rPr>
        <w:t xml:space="preserve"> E</w:t>
      </w:r>
      <w:r w:rsidR="00C52288" w:rsidRPr="003B5D25">
        <w:rPr>
          <w:rFonts w:asciiTheme="majorHAnsi" w:hAnsiTheme="majorHAnsi"/>
          <w:bCs/>
        </w:rPr>
        <w:t xml:space="preserve">quitable treatment of all </w:t>
      </w:r>
      <w:r>
        <w:rPr>
          <w:rFonts w:asciiTheme="majorHAnsi" w:hAnsiTheme="majorHAnsi"/>
          <w:bCs/>
        </w:rPr>
        <w:t xml:space="preserve">neighborhoods, communities, constituencies and </w:t>
      </w:r>
      <w:r w:rsidR="00C52288" w:rsidRPr="003B5D25">
        <w:rPr>
          <w:rFonts w:asciiTheme="majorHAnsi" w:hAnsiTheme="majorHAnsi"/>
          <w:bCs/>
        </w:rPr>
        <w:t>customer classes;</w:t>
      </w:r>
    </w:p>
    <w:p w:rsidR="00C52288" w:rsidRPr="003B5D25" w:rsidRDefault="00C52288" w:rsidP="00C52288">
      <w:pPr>
        <w:pStyle w:val="ListParagraph"/>
        <w:numPr>
          <w:ilvl w:val="0"/>
          <w:numId w:val="15"/>
        </w:numPr>
        <w:spacing w:line="288" w:lineRule="auto"/>
        <w:rPr>
          <w:rFonts w:asciiTheme="majorHAnsi" w:hAnsiTheme="majorHAnsi"/>
          <w:bCs/>
        </w:rPr>
      </w:pPr>
      <w:r w:rsidRPr="003B5D25">
        <w:rPr>
          <w:rFonts w:asciiTheme="majorHAnsi" w:hAnsiTheme="majorHAnsi"/>
          <w:bCs/>
        </w:rPr>
        <w:t xml:space="preserve">Portfolio Diversity – </w:t>
      </w:r>
      <w:r w:rsidR="00073EA4">
        <w:rPr>
          <w:rFonts w:asciiTheme="majorHAnsi" w:hAnsiTheme="majorHAnsi"/>
          <w:bCs/>
        </w:rPr>
        <w:t>An energy resource mix that is diversified in ways that serve objectives related to environmental values, community resources, system reliability and support for the local economy</w:t>
      </w:r>
      <w:r w:rsidR="00C87FD9" w:rsidRPr="003B5D25">
        <w:rPr>
          <w:rFonts w:asciiTheme="majorHAnsi" w:hAnsiTheme="majorHAnsi"/>
          <w:bCs/>
        </w:rPr>
        <w:t>.</w:t>
      </w:r>
      <w:r w:rsidRPr="003B5D25">
        <w:rPr>
          <w:rFonts w:asciiTheme="majorHAnsi" w:hAnsiTheme="majorHAnsi"/>
          <w:bCs/>
        </w:rPr>
        <w:t>;</w:t>
      </w:r>
    </w:p>
    <w:p w:rsidR="00C52288" w:rsidRPr="003B5D25" w:rsidRDefault="009D5945" w:rsidP="00C52288">
      <w:pPr>
        <w:pStyle w:val="ListParagraph"/>
        <w:numPr>
          <w:ilvl w:val="0"/>
          <w:numId w:val="15"/>
        </w:numPr>
        <w:spacing w:line="288" w:lineRule="auto"/>
        <w:rPr>
          <w:rFonts w:asciiTheme="majorHAnsi" w:hAnsiTheme="majorHAnsi"/>
          <w:bCs/>
        </w:rPr>
      </w:pPr>
      <w:r w:rsidRPr="003B5D25">
        <w:rPr>
          <w:rFonts w:asciiTheme="majorHAnsi" w:hAnsiTheme="majorHAnsi"/>
          <w:bCs/>
        </w:rPr>
        <w:t xml:space="preserve">Local Economic Development – </w:t>
      </w:r>
      <w:r w:rsidR="00C87FD9" w:rsidRPr="003B5D25">
        <w:rPr>
          <w:rFonts w:asciiTheme="majorHAnsi" w:hAnsiTheme="majorHAnsi"/>
          <w:bCs/>
        </w:rPr>
        <w:t xml:space="preserve">Jobs creation </w:t>
      </w:r>
      <w:r w:rsidRPr="003B5D25">
        <w:rPr>
          <w:rFonts w:asciiTheme="majorHAnsi" w:hAnsiTheme="majorHAnsi"/>
          <w:bCs/>
        </w:rPr>
        <w:t xml:space="preserve">and </w:t>
      </w:r>
      <w:r w:rsidR="00C87FD9" w:rsidRPr="003B5D25">
        <w:rPr>
          <w:rFonts w:asciiTheme="majorHAnsi" w:hAnsiTheme="majorHAnsi"/>
          <w:bCs/>
        </w:rPr>
        <w:t>support of local economy</w:t>
      </w:r>
      <w:r w:rsidRPr="003B5D25">
        <w:rPr>
          <w:rFonts w:asciiTheme="majorHAnsi" w:hAnsiTheme="majorHAnsi"/>
          <w:bCs/>
        </w:rPr>
        <w:t>;</w:t>
      </w:r>
      <w:r w:rsidR="00C52288" w:rsidRPr="003B5D25">
        <w:rPr>
          <w:rFonts w:asciiTheme="majorHAnsi" w:hAnsiTheme="majorHAnsi"/>
          <w:bCs/>
        </w:rPr>
        <w:t xml:space="preserve"> </w:t>
      </w:r>
    </w:p>
    <w:p w:rsidR="00C52288" w:rsidRPr="003B5D25" w:rsidRDefault="00C52288" w:rsidP="00C52288">
      <w:pPr>
        <w:pStyle w:val="ListParagraph"/>
        <w:numPr>
          <w:ilvl w:val="0"/>
          <w:numId w:val="15"/>
        </w:numPr>
        <w:spacing w:line="288" w:lineRule="auto"/>
        <w:rPr>
          <w:rFonts w:asciiTheme="majorHAnsi" w:hAnsiTheme="majorHAnsi"/>
          <w:bCs/>
        </w:rPr>
      </w:pPr>
      <w:r w:rsidRPr="003B5D25">
        <w:rPr>
          <w:rFonts w:asciiTheme="majorHAnsi" w:hAnsiTheme="majorHAnsi"/>
          <w:bCs/>
        </w:rPr>
        <w:t>Cost-effectiveness</w:t>
      </w:r>
      <w:r w:rsidR="009D5945" w:rsidRPr="003B5D25">
        <w:rPr>
          <w:rFonts w:asciiTheme="majorHAnsi" w:hAnsiTheme="majorHAnsi"/>
          <w:bCs/>
        </w:rPr>
        <w:t xml:space="preserve"> </w:t>
      </w:r>
      <w:r w:rsidR="00C87FD9" w:rsidRPr="003B5D25">
        <w:rPr>
          <w:rFonts w:asciiTheme="majorHAnsi" w:hAnsiTheme="majorHAnsi"/>
          <w:bCs/>
        </w:rPr>
        <w:t>–</w:t>
      </w:r>
      <w:r w:rsidR="009D5945" w:rsidRPr="003B5D25">
        <w:rPr>
          <w:rFonts w:asciiTheme="majorHAnsi" w:hAnsiTheme="majorHAnsi"/>
          <w:bCs/>
        </w:rPr>
        <w:t xml:space="preserve"> </w:t>
      </w:r>
      <w:r w:rsidR="00C87FD9" w:rsidRPr="003B5D25">
        <w:rPr>
          <w:rFonts w:asciiTheme="majorHAnsi" w:hAnsiTheme="majorHAnsi"/>
          <w:bCs/>
        </w:rPr>
        <w:t xml:space="preserve">Overall </w:t>
      </w:r>
      <w:r w:rsidR="00073EA4">
        <w:rPr>
          <w:rFonts w:asciiTheme="majorHAnsi" w:hAnsiTheme="majorHAnsi"/>
          <w:bCs/>
        </w:rPr>
        <w:t>net economic benefits</w:t>
      </w:r>
      <w:r w:rsidRPr="003B5D25">
        <w:rPr>
          <w:rFonts w:asciiTheme="majorHAnsi" w:hAnsiTheme="majorHAnsi"/>
          <w:bCs/>
        </w:rPr>
        <w:t>;</w:t>
      </w:r>
    </w:p>
    <w:p w:rsidR="00C52288" w:rsidRPr="003B5D25" w:rsidRDefault="00C52288" w:rsidP="00C52288">
      <w:pPr>
        <w:pStyle w:val="ListParagraph"/>
        <w:numPr>
          <w:ilvl w:val="0"/>
          <w:numId w:val="15"/>
        </w:numPr>
        <w:spacing w:line="288" w:lineRule="auto"/>
        <w:rPr>
          <w:rFonts w:asciiTheme="majorHAnsi" w:hAnsiTheme="majorHAnsi"/>
          <w:bCs/>
        </w:rPr>
      </w:pPr>
      <w:r w:rsidRPr="003B5D25">
        <w:rPr>
          <w:rFonts w:asciiTheme="majorHAnsi" w:hAnsiTheme="majorHAnsi"/>
          <w:bCs/>
        </w:rPr>
        <w:t>Practicality</w:t>
      </w:r>
      <w:r w:rsidR="00C87FD9" w:rsidRPr="003B5D25">
        <w:rPr>
          <w:rFonts w:asciiTheme="majorHAnsi" w:hAnsiTheme="majorHAnsi"/>
          <w:bCs/>
        </w:rPr>
        <w:t xml:space="preserve"> – Feasibility, ease and time of deployment; and</w:t>
      </w:r>
    </w:p>
    <w:p w:rsidR="00BD315D" w:rsidRPr="003B5D25" w:rsidRDefault="00C52288" w:rsidP="00C52288">
      <w:pPr>
        <w:pStyle w:val="ListParagraph"/>
        <w:numPr>
          <w:ilvl w:val="0"/>
          <w:numId w:val="15"/>
        </w:numPr>
        <w:spacing w:line="288" w:lineRule="auto"/>
        <w:rPr>
          <w:rFonts w:asciiTheme="majorHAnsi" w:hAnsiTheme="majorHAnsi"/>
          <w:bCs/>
        </w:rPr>
      </w:pPr>
      <w:r w:rsidRPr="003B5D25">
        <w:rPr>
          <w:rFonts w:asciiTheme="majorHAnsi" w:hAnsiTheme="majorHAnsi"/>
          <w:bCs/>
        </w:rPr>
        <w:t xml:space="preserve">Regulatory and Legal </w:t>
      </w:r>
      <w:r w:rsidR="00C87FD9" w:rsidRPr="003B5D25">
        <w:rPr>
          <w:rFonts w:asciiTheme="majorHAnsi" w:hAnsiTheme="majorHAnsi"/>
          <w:bCs/>
        </w:rPr>
        <w:t>R</w:t>
      </w:r>
      <w:r w:rsidRPr="003B5D25">
        <w:rPr>
          <w:rFonts w:asciiTheme="majorHAnsi" w:hAnsiTheme="majorHAnsi"/>
          <w:bCs/>
        </w:rPr>
        <w:t>equirements</w:t>
      </w:r>
      <w:r w:rsidR="00D246DB" w:rsidRPr="003B5D25">
        <w:rPr>
          <w:rFonts w:asciiTheme="majorHAnsi" w:hAnsiTheme="majorHAnsi"/>
          <w:bCs/>
        </w:rPr>
        <w:t xml:space="preserve"> – </w:t>
      </w:r>
      <w:r w:rsidR="00C87FD9" w:rsidRPr="003B5D25">
        <w:rPr>
          <w:rFonts w:asciiTheme="majorHAnsi" w:hAnsiTheme="majorHAnsi"/>
          <w:bCs/>
        </w:rPr>
        <w:t>Compliance</w:t>
      </w:r>
      <w:r w:rsidR="00D246DB" w:rsidRPr="003B5D25">
        <w:rPr>
          <w:rFonts w:asciiTheme="majorHAnsi" w:hAnsiTheme="majorHAnsi"/>
          <w:bCs/>
        </w:rPr>
        <w:t xml:space="preserve"> </w:t>
      </w:r>
      <w:r w:rsidRPr="003B5D25">
        <w:rPr>
          <w:rFonts w:asciiTheme="majorHAnsi" w:hAnsiTheme="majorHAnsi"/>
          <w:bCs/>
        </w:rPr>
        <w:t>with state, local and federal rules, statu</w:t>
      </w:r>
      <w:r w:rsidR="00C87FD9" w:rsidRPr="003B5D25">
        <w:rPr>
          <w:rFonts w:asciiTheme="majorHAnsi" w:hAnsiTheme="majorHAnsi"/>
          <w:bCs/>
        </w:rPr>
        <w:t>t</w:t>
      </w:r>
      <w:r w:rsidRPr="003B5D25">
        <w:rPr>
          <w:rFonts w:asciiTheme="majorHAnsi" w:hAnsiTheme="majorHAnsi"/>
          <w:bCs/>
        </w:rPr>
        <w:t>es, and case law</w:t>
      </w:r>
      <w:r w:rsidR="00C87FD9" w:rsidRPr="003B5D25">
        <w:rPr>
          <w:rFonts w:asciiTheme="majorHAnsi" w:hAnsiTheme="majorHAnsi"/>
          <w:bCs/>
        </w:rPr>
        <w:t>.</w:t>
      </w:r>
      <w:r w:rsidRPr="003B5D25">
        <w:rPr>
          <w:rFonts w:asciiTheme="majorHAnsi" w:hAnsiTheme="majorHAnsi"/>
          <w:bCs/>
        </w:rPr>
        <w:t xml:space="preserve"> </w:t>
      </w:r>
    </w:p>
    <w:p w:rsidR="00C950D7" w:rsidRPr="00116FA2" w:rsidRDefault="00C950D7" w:rsidP="00073EA4">
      <w:pPr>
        <w:pStyle w:val="Heading1"/>
        <w:numPr>
          <w:ilvl w:val="0"/>
          <w:numId w:val="0"/>
        </w:numPr>
      </w:pPr>
    </w:p>
    <w:p w:rsidR="00C950D7" w:rsidRPr="00116FA2" w:rsidRDefault="00D246DB" w:rsidP="00073EA4">
      <w:pPr>
        <w:pStyle w:val="Heading1"/>
        <w:rPr>
          <w:color w:val="000000"/>
          <w14:textFill>
            <w14:solidFill>
              <w14:srgbClr w14:val="000000">
                <w14:lumMod w14:val="65000"/>
                <w14:lumOff w14:val="35000"/>
              </w14:srgbClr>
            </w14:solidFill>
          </w14:textFill>
        </w:rPr>
      </w:pPr>
      <w:r>
        <w:t>TIMING OF A BUILD-OUT</w:t>
      </w:r>
    </w:p>
    <w:p w:rsidR="00C950D7" w:rsidRPr="00116FA2" w:rsidRDefault="00C950D7" w:rsidP="00C950D7">
      <w:pPr>
        <w:rPr>
          <w:rFonts w:asciiTheme="majorHAnsi" w:hAnsiTheme="majorHAnsi"/>
          <w:lang w:bidi="en-US"/>
        </w:rPr>
      </w:pPr>
    </w:p>
    <w:p w:rsidR="009470FF" w:rsidRPr="00104C4F" w:rsidRDefault="009470FF" w:rsidP="009470FF">
      <w:pPr>
        <w:spacing w:line="288" w:lineRule="auto"/>
        <w:rPr>
          <w:rFonts w:asciiTheme="majorHAnsi" w:hAnsiTheme="majorHAnsi"/>
          <w:bCs/>
        </w:rPr>
      </w:pPr>
      <w:r w:rsidRPr="00104C4F">
        <w:rPr>
          <w:rFonts w:asciiTheme="majorHAnsi" w:hAnsiTheme="majorHAnsi"/>
          <w:bCs/>
        </w:rPr>
        <w:t xml:space="preserve">The build out of local energy resources would serve several City policy objectives </w:t>
      </w:r>
      <w:r>
        <w:rPr>
          <w:rFonts w:asciiTheme="majorHAnsi" w:hAnsiTheme="majorHAnsi"/>
          <w:bCs/>
        </w:rPr>
        <w:t>related to</w:t>
      </w:r>
      <w:r w:rsidRPr="00104C4F">
        <w:rPr>
          <w:rFonts w:asciiTheme="majorHAnsi" w:hAnsiTheme="majorHAnsi"/>
          <w:bCs/>
        </w:rPr>
        <w:t xml:space="preserve"> the City’s pursuit of environmental values, jobs</w:t>
      </w:r>
      <w:r>
        <w:rPr>
          <w:rFonts w:asciiTheme="majorHAnsi" w:hAnsiTheme="majorHAnsi"/>
          <w:bCs/>
        </w:rPr>
        <w:t xml:space="preserve"> creation</w:t>
      </w:r>
      <w:r w:rsidRPr="00104C4F">
        <w:rPr>
          <w:rFonts w:asciiTheme="majorHAnsi" w:hAnsiTheme="majorHAnsi"/>
          <w:bCs/>
        </w:rPr>
        <w:t xml:space="preserve">, and a </w:t>
      </w:r>
      <w:r>
        <w:rPr>
          <w:rFonts w:asciiTheme="majorHAnsi" w:hAnsiTheme="majorHAnsi"/>
          <w:bCs/>
        </w:rPr>
        <w:t>robust</w:t>
      </w:r>
      <w:r w:rsidRPr="00104C4F">
        <w:rPr>
          <w:rFonts w:asciiTheme="majorHAnsi" w:hAnsiTheme="majorHAnsi"/>
          <w:bCs/>
        </w:rPr>
        <w:t xml:space="preserve"> local economy.  CPSF will certainly have some resources to support local build-out and, after the program has secured </w:t>
      </w:r>
      <w:r>
        <w:rPr>
          <w:rFonts w:asciiTheme="majorHAnsi" w:hAnsiTheme="majorHAnsi"/>
          <w:bCs/>
        </w:rPr>
        <w:t xml:space="preserve">steady </w:t>
      </w:r>
      <w:r w:rsidRPr="00104C4F">
        <w:rPr>
          <w:rFonts w:asciiTheme="majorHAnsi" w:hAnsiTheme="majorHAnsi"/>
          <w:bCs/>
        </w:rPr>
        <w:t xml:space="preserve">customer revenue streams, may be able to issue revenue bonds </w:t>
      </w:r>
      <w:r>
        <w:rPr>
          <w:rFonts w:asciiTheme="majorHAnsi" w:hAnsiTheme="majorHAnsi"/>
          <w:bCs/>
        </w:rPr>
        <w:t>to</w:t>
      </w:r>
      <w:r w:rsidRPr="00104C4F">
        <w:rPr>
          <w:rFonts w:asciiTheme="majorHAnsi" w:hAnsiTheme="majorHAnsi"/>
          <w:bCs/>
        </w:rPr>
        <w:t xml:space="preserve"> support an aggressive build-out strategy.  </w:t>
      </w:r>
    </w:p>
    <w:p w:rsidR="009470FF" w:rsidRPr="00104C4F" w:rsidRDefault="009470FF" w:rsidP="009470FF">
      <w:pPr>
        <w:spacing w:line="288" w:lineRule="auto"/>
        <w:rPr>
          <w:rFonts w:asciiTheme="majorHAnsi" w:hAnsiTheme="majorHAnsi"/>
          <w:bCs/>
        </w:rPr>
      </w:pPr>
    </w:p>
    <w:p w:rsidR="009470FF" w:rsidRPr="00104C4F" w:rsidRDefault="009470FF" w:rsidP="009470FF">
      <w:pPr>
        <w:spacing w:line="288" w:lineRule="auto"/>
        <w:rPr>
          <w:rFonts w:asciiTheme="majorHAnsi" w:hAnsiTheme="majorHAnsi"/>
          <w:b/>
          <w:bCs/>
        </w:rPr>
      </w:pPr>
      <w:r>
        <w:rPr>
          <w:rFonts w:asciiTheme="majorHAnsi" w:hAnsiTheme="majorHAnsi"/>
          <w:bCs/>
        </w:rPr>
        <w:t>Earlier</w:t>
      </w:r>
      <w:r w:rsidRPr="00104C4F">
        <w:rPr>
          <w:rFonts w:asciiTheme="majorHAnsi" w:hAnsiTheme="majorHAnsi"/>
          <w:bCs/>
        </w:rPr>
        <w:t xml:space="preserve"> discussions regarding build-out have assumed that </w:t>
      </w:r>
      <w:r>
        <w:rPr>
          <w:rFonts w:asciiTheme="majorHAnsi" w:hAnsiTheme="majorHAnsi"/>
          <w:bCs/>
        </w:rPr>
        <w:t>the entirety</w:t>
      </w:r>
      <w:r w:rsidRPr="00104C4F">
        <w:rPr>
          <w:rFonts w:asciiTheme="majorHAnsi" w:hAnsiTheme="majorHAnsi"/>
          <w:bCs/>
        </w:rPr>
        <w:t xml:space="preserve"> of CPSF’s power suppl</w:t>
      </w:r>
      <w:r>
        <w:rPr>
          <w:rFonts w:asciiTheme="majorHAnsi" w:hAnsiTheme="majorHAnsi"/>
          <w:bCs/>
        </w:rPr>
        <w:t>y</w:t>
      </w:r>
      <w:r w:rsidRPr="00104C4F">
        <w:rPr>
          <w:rFonts w:asciiTheme="majorHAnsi" w:hAnsiTheme="majorHAnsi"/>
          <w:bCs/>
        </w:rPr>
        <w:t xml:space="preserve"> would be purchased through SENA in the first four and a half years after the CCA first initiates service.  CPSF would subsequently switch over to a </w:t>
      </w:r>
      <w:r>
        <w:rPr>
          <w:rFonts w:asciiTheme="majorHAnsi" w:hAnsiTheme="majorHAnsi"/>
          <w:bCs/>
        </w:rPr>
        <w:t>structure</w:t>
      </w:r>
      <w:r w:rsidRPr="00104C4F">
        <w:rPr>
          <w:rFonts w:asciiTheme="majorHAnsi" w:hAnsiTheme="majorHAnsi"/>
          <w:bCs/>
        </w:rPr>
        <w:t xml:space="preserve"> that emphasizes local purchases. </w:t>
      </w:r>
      <w:r>
        <w:rPr>
          <w:rFonts w:asciiTheme="majorHAnsi" w:hAnsiTheme="majorHAnsi"/>
          <w:bCs/>
        </w:rPr>
        <w:t>T</w:t>
      </w:r>
      <w:r w:rsidRPr="00104C4F">
        <w:rPr>
          <w:rFonts w:asciiTheme="majorHAnsi" w:hAnsiTheme="majorHAnsi"/>
          <w:bCs/>
        </w:rPr>
        <w:t>his strategy</w:t>
      </w:r>
      <w:r>
        <w:rPr>
          <w:rFonts w:asciiTheme="majorHAnsi" w:hAnsiTheme="majorHAnsi"/>
          <w:bCs/>
        </w:rPr>
        <w:t xml:space="preserve"> presents several issues</w:t>
      </w:r>
      <w:r w:rsidRPr="00104C4F">
        <w:rPr>
          <w:rFonts w:asciiTheme="majorHAnsi" w:hAnsiTheme="majorHAnsi"/>
          <w:bCs/>
        </w:rPr>
        <w:t xml:space="preserve">. First, it may </w:t>
      </w:r>
      <w:r>
        <w:rPr>
          <w:rFonts w:asciiTheme="majorHAnsi" w:hAnsiTheme="majorHAnsi"/>
          <w:bCs/>
        </w:rPr>
        <w:t>delay</w:t>
      </w:r>
      <w:r w:rsidRPr="00104C4F">
        <w:rPr>
          <w:rFonts w:asciiTheme="majorHAnsi" w:hAnsiTheme="majorHAnsi"/>
          <w:bCs/>
        </w:rPr>
        <w:t xml:space="preserve"> CPSF’s ability to comply with the statutory requirement that CCAs ultimately offer service to all residential customers in the jurisdiction.  While there is no adopted schedule for a CCA to comply with this requirement, CPSF should leave open the option to expand the program</w:t>
      </w:r>
      <w:r>
        <w:rPr>
          <w:rFonts w:asciiTheme="majorHAnsi" w:hAnsiTheme="majorHAnsi"/>
          <w:bCs/>
        </w:rPr>
        <w:t xml:space="preserve"> with additional resources</w:t>
      </w:r>
      <w:r w:rsidRPr="00104C4F">
        <w:rPr>
          <w:rFonts w:asciiTheme="majorHAnsi" w:hAnsiTheme="majorHAnsi"/>
          <w:bCs/>
        </w:rPr>
        <w:t xml:space="preserve"> as opportunities present themselves</w:t>
      </w:r>
      <w:r>
        <w:rPr>
          <w:rFonts w:asciiTheme="majorHAnsi" w:hAnsiTheme="majorHAnsi"/>
          <w:bCs/>
        </w:rPr>
        <w:t xml:space="preserve"> over Phase 1</w:t>
      </w:r>
      <w:r w:rsidRPr="00104C4F">
        <w:rPr>
          <w:rFonts w:asciiTheme="majorHAnsi" w:hAnsiTheme="majorHAnsi"/>
          <w:bCs/>
        </w:rPr>
        <w:t xml:space="preserve">.  </w:t>
      </w:r>
      <w:r>
        <w:rPr>
          <w:rFonts w:asciiTheme="majorHAnsi" w:hAnsiTheme="majorHAnsi"/>
          <w:bCs/>
        </w:rPr>
        <w:t>Furthermore</w:t>
      </w:r>
      <w:r w:rsidRPr="00104C4F">
        <w:rPr>
          <w:rFonts w:asciiTheme="majorHAnsi" w:hAnsiTheme="majorHAnsi"/>
          <w:bCs/>
        </w:rPr>
        <w:t>, the idea that CPSF would move from an “all-market” procurement strategy to a “mostly-local” procurement strategy almost overnight could present logistical challenges (</w:t>
      </w:r>
      <w:r>
        <w:rPr>
          <w:rFonts w:asciiTheme="majorHAnsi" w:hAnsiTheme="majorHAnsi"/>
          <w:bCs/>
        </w:rPr>
        <w:t>e.g.</w:t>
      </w:r>
      <w:r w:rsidRPr="00104C4F">
        <w:rPr>
          <w:rFonts w:asciiTheme="majorHAnsi" w:hAnsiTheme="majorHAnsi"/>
          <w:bCs/>
        </w:rPr>
        <w:t xml:space="preserve"> if a large project </w:t>
      </w:r>
      <w:r>
        <w:rPr>
          <w:rFonts w:asciiTheme="majorHAnsi" w:hAnsiTheme="majorHAnsi"/>
          <w:bCs/>
        </w:rPr>
        <w:t>does</w:t>
      </w:r>
      <w:r w:rsidRPr="00104C4F">
        <w:rPr>
          <w:rFonts w:asciiTheme="majorHAnsi" w:hAnsiTheme="majorHAnsi"/>
          <w:bCs/>
        </w:rPr>
        <w:t xml:space="preserve"> not finish</w:t>
      </w:r>
      <w:r>
        <w:rPr>
          <w:rFonts w:asciiTheme="majorHAnsi" w:hAnsiTheme="majorHAnsi"/>
          <w:bCs/>
        </w:rPr>
        <w:t xml:space="preserve"> construction</w:t>
      </w:r>
      <w:r w:rsidRPr="00104C4F">
        <w:rPr>
          <w:rFonts w:asciiTheme="majorHAnsi" w:hAnsiTheme="majorHAnsi"/>
          <w:bCs/>
        </w:rPr>
        <w:t xml:space="preserve"> on time or fails) as well as financial ones (</w:t>
      </w:r>
      <w:r>
        <w:rPr>
          <w:rFonts w:asciiTheme="majorHAnsi" w:hAnsiTheme="majorHAnsi"/>
          <w:bCs/>
        </w:rPr>
        <w:t xml:space="preserve">e.g. </w:t>
      </w:r>
      <w:r w:rsidRPr="00104C4F">
        <w:rPr>
          <w:rFonts w:asciiTheme="majorHAnsi" w:hAnsiTheme="majorHAnsi"/>
          <w:bCs/>
        </w:rPr>
        <w:t>local projects may be more expensive than power purchases on the state’s grid).</w:t>
      </w:r>
    </w:p>
    <w:p w:rsidR="009470FF" w:rsidRPr="00104C4F" w:rsidRDefault="009470FF" w:rsidP="009470FF">
      <w:pPr>
        <w:spacing w:line="288" w:lineRule="auto"/>
        <w:rPr>
          <w:rFonts w:asciiTheme="majorHAnsi" w:hAnsiTheme="majorHAnsi"/>
        </w:rPr>
      </w:pPr>
    </w:p>
    <w:p w:rsidR="009470FF" w:rsidRPr="00104C4F" w:rsidRDefault="009470FF" w:rsidP="009470FF">
      <w:pPr>
        <w:spacing w:line="288" w:lineRule="auto"/>
        <w:rPr>
          <w:rFonts w:asciiTheme="majorHAnsi" w:hAnsiTheme="majorHAnsi"/>
        </w:rPr>
      </w:pPr>
      <w:r w:rsidRPr="00104C4F">
        <w:rPr>
          <w:rFonts w:asciiTheme="majorHAnsi" w:hAnsiTheme="majorHAnsi"/>
        </w:rPr>
        <w:t>On the other extreme, L</w:t>
      </w:r>
      <w:r>
        <w:rPr>
          <w:rFonts w:asciiTheme="majorHAnsi" w:hAnsiTheme="majorHAnsi"/>
        </w:rPr>
        <w:t xml:space="preserve">ocal </w:t>
      </w:r>
      <w:r w:rsidRPr="00104C4F">
        <w:rPr>
          <w:rFonts w:asciiTheme="majorHAnsi" w:hAnsiTheme="majorHAnsi"/>
        </w:rPr>
        <w:t>P</w:t>
      </w:r>
      <w:r>
        <w:rPr>
          <w:rFonts w:asciiTheme="majorHAnsi" w:hAnsiTheme="majorHAnsi"/>
        </w:rPr>
        <w:t xml:space="preserve">ower </w:t>
      </w:r>
      <w:r w:rsidRPr="00104C4F">
        <w:rPr>
          <w:rFonts w:asciiTheme="majorHAnsi" w:hAnsiTheme="majorHAnsi"/>
        </w:rPr>
        <w:t>I</w:t>
      </w:r>
      <w:r>
        <w:rPr>
          <w:rFonts w:asciiTheme="majorHAnsi" w:hAnsiTheme="majorHAnsi"/>
        </w:rPr>
        <w:t>nc.</w:t>
      </w:r>
      <w:r w:rsidRPr="00104C4F">
        <w:rPr>
          <w:rFonts w:asciiTheme="majorHAnsi" w:hAnsiTheme="majorHAnsi"/>
        </w:rPr>
        <w:t xml:space="preserve"> proposed that CPSF invest about $1 billion from bond revenues in local projects in the first several years of the program.  Neither CPSF nor the SFPUC will have the capacity to issue bonds before developing a proven revenue stream that corresponds to bonding amounts, which may be leveraged at a ratio of about 10 to one.  CPSF would probably not have the bonding capacity to raise $1 billion for many years.  Moreover, spending $1 billion cost-effectively in a short period would likely be extremely difficult. </w:t>
      </w:r>
    </w:p>
    <w:p w:rsidR="009470FF" w:rsidRPr="00104C4F" w:rsidRDefault="009470FF" w:rsidP="009470FF">
      <w:pPr>
        <w:spacing w:line="288" w:lineRule="auto"/>
        <w:rPr>
          <w:rFonts w:asciiTheme="majorHAnsi" w:hAnsiTheme="majorHAnsi"/>
        </w:rPr>
      </w:pPr>
    </w:p>
    <w:p w:rsidR="009470FF" w:rsidRDefault="009470FF" w:rsidP="009470FF">
      <w:pPr>
        <w:spacing w:line="288" w:lineRule="auto"/>
        <w:rPr>
          <w:rFonts w:asciiTheme="majorHAnsi" w:hAnsiTheme="majorHAnsi"/>
        </w:rPr>
      </w:pPr>
      <w:r w:rsidRPr="00104C4F">
        <w:rPr>
          <w:rFonts w:asciiTheme="majorHAnsi" w:hAnsiTheme="majorHAnsi"/>
        </w:rPr>
        <w:t xml:space="preserve">The purpose of relying on SENA to purchase power for the first years of the program is to provide a period of transition to a more diverse and comprehensive power purchase strategy.  It provides time for planning and construction, as well as an opportunity for CPSF to take incremental steps to </w:t>
      </w:r>
      <w:r>
        <w:rPr>
          <w:rFonts w:asciiTheme="majorHAnsi" w:hAnsiTheme="majorHAnsi"/>
        </w:rPr>
        <w:t>invest in</w:t>
      </w:r>
      <w:r w:rsidRPr="00104C4F">
        <w:rPr>
          <w:rFonts w:asciiTheme="majorHAnsi" w:hAnsiTheme="majorHAnsi"/>
        </w:rPr>
        <w:t xml:space="preserve"> local power</w:t>
      </w:r>
      <w:r>
        <w:rPr>
          <w:rFonts w:asciiTheme="majorHAnsi" w:hAnsiTheme="majorHAnsi"/>
        </w:rPr>
        <w:t>,</w:t>
      </w:r>
      <w:r w:rsidRPr="00104C4F">
        <w:rPr>
          <w:rFonts w:asciiTheme="majorHAnsi" w:hAnsiTheme="majorHAnsi"/>
        </w:rPr>
        <w:t xml:space="preserve"> with the backstop provided by </w:t>
      </w:r>
      <w:r>
        <w:rPr>
          <w:rFonts w:asciiTheme="majorHAnsi" w:hAnsiTheme="majorHAnsi"/>
        </w:rPr>
        <w:t xml:space="preserve">SENA’s </w:t>
      </w:r>
      <w:r w:rsidRPr="00104C4F">
        <w:rPr>
          <w:rFonts w:asciiTheme="majorHAnsi" w:hAnsiTheme="majorHAnsi"/>
        </w:rPr>
        <w:t>commitment to procure highly reliable</w:t>
      </w:r>
      <w:r>
        <w:rPr>
          <w:rFonts w:asciiTheme="majorHAnsi" w:hAnsiTheme="majorHAnsi"/>
        </w:rPr>
        <w:t>, renewable</w:t>
      </w:r>
      <w:r w:rsidRPr="00104C4F">
        <w:rPr>
          <w:rFonts w:asciiTheme="majorHAnsi" w:hAnsiTheme="majorHAnsi"/>
        </w:rPr>
        <w:t xml:space="preserve"> power at stable prices.</w:t>
      </w:r>
    </w:p>
    <w:p w:rsidR="00F649D2" w:rsidRDefault="00F649D2" w:rsidP="009470FF">
      <w:pPr>
        <w:spacing w:line="288" w:lineRule="auto"/>
        <w:rPr>
          <w:rFonts w:asciiTheme="majorHAnsi" w:hAnsiTheme="majorHAnsi"/>
        </w:rPr>
      </w:pPr>
    </w:p>
    <w:p w:rsidR="00F649D2" w:rsidRDefault="00F649D2" w:rsidP="00F649D2">
      <w:pPr>
        <w:spacing w:line="288" w:lineRule="auto"/>
        <w:rPr>
          <w:rFonts w:asciiTheme="majorHAnsi" w:hAnsiTheme="majorHAnsi"/>
          <w:b/>
          <w:bCs/>
          <w:i/>
        </w:rPr>
      </w:pPr>
      <w:r>
        <w:rPr>
          <w:rFonts w:asciiTheme="majorHAnsi" w:hAnsiTheme="majorHAnsi"/>
          <w:b/>
          <w:bCs/>
          <w:i/>
          <w:u w:val="single"/>
        </w:rPr>
        <w:t xml:space="preserve">STRATEGY </w:t>
      </w:r>
      <w:r w:rsidR="009057C0">
        <w:rPr>
          <w:rFonts w:asciiTheme="majorHAnsi" w:hAnsiTheme="majorHAnsi"/>
          <w:b/>
          <w:bCs/>
          <w:i/>
          <w:u w:val="single"/>
        </w:rPr>
        <w:t>#</w:t>
      </w:r>
      <w:r>
        <w:rPr>
          <w:rFonts w:asciiTheme="majorHAnsi" w:hAnsiTheme="majorHAnsi"/>
          <w:b/>
          <w:bCs/>
          <w:i/>
          <w:u w:val="single"/>
        </w:rPr>
        <w:t>1</w:t>
      </w:r>
      <w:r w:rsidRPr="00F649D2">
        <w:rPr>
          <w:rFonts w:asciiTheme="majorHAnsi" w:hAnsiTheme="majorHAnsi"/>
          <w:b/>
          <w:bCs/>
          <w:i/>
          <w:u w:val="single"/>
        </w:rPr>
        <w:t>:</w:t>
      </w:r>
      <w:r w:rsidRPr="00F649D2">
        <w:rPr>
          <w:rFonts w:asciiTheme="majorHAnsi" w:hAnsiTheme="majorHAnsi"/>
          <w:b/>
          <w:bCs/>
          <w:i/>
        </w:rPr>
        <w:t xml:space="preserve">  </w:t>
      </w:r>
      <w:r w:rsidR="00073EA4">
        <w:rPr>
          <w:rFonts w:asciiTheme="majorHAnsi" w:hAnsiTheme="majorHAnsi"/>
          <w:b/>
          <w:i/>
        </w:rPr>
        <w:t xml:space="preserve">CPSF plans to </w:t>
      </w:r>
      <w:r w:rsidRPr="00104C4F">
        <w:rPr>
          <w:rFonts w:asciiTheme="majorHAnsi" w:hAnsiTheme="majorHAnsi"/>
          <w:b/>
          <w:i/>
        </w:rPr>
        <w:t>use the 4.5 year term of</w:t>
      </w:r>
      <w:r w:rsidRPr="00104C4F">
        <w:rPr>
          <w:rFonts w:asciiTheme="majorHAnsi" w:hAnsiTheme="majorHAnsi"/>
          <w:b/>
          <w:bCs/>
          <w:i/>
        </w:rPr>
        <w:t xml:space="preserve"> the planned SENA contract to develop a multi-pronged approach to local build-out and take immediate action to induce local build-out activities and projects.</w:t>
      </w:r>
    </w:p>
    <w:p w:rsidR="00F649D2" w:rsidRDefault="00F649D2" w:rsidP="00F649D2">
      <w:pPr>
        <w:spacing w:line="288" w:lineRule="auto"/>
        <w:rPr>
          <w:rFonts w:asciiTheme="majorHAnsi" w:hAnsiTheme="majorHAnsi"/>
          <w:b/>
          <w:bCs/>
          <w:i/>
        </w:rPr>
      </w:pPr>
    </w:p>
    <w:tbl>
      <w:tblPr>
        <w:tblStyle w:val="TableGrid"/>
        <w:tblW w:w="0" w:type="auto"/>
        <w:tblLook w:val="04A0" w:firstRow="1" w:lastRow="0" w:firstColumn="1" w:lastColumn="0" w:noHBand="0" w:noVBand="1"/>
      </w:tblPr>
      <w:tblGrid>
        <w:gridCol w:w="6768"/>
        <w:gridCol w:w="2808"/>
      </w:tblGrid>
      <w:tr w:rsidR="00F649D2" w:rsidRPr="00AF3CCA" w:rsidTr="00F649D2">
        <w:tc>
          <w:tcPr>
            <w:tcW w:w="6768" w:type="dxa"/>
            <w:shd w:val="clear" w:color="auto" w:fill="9BBB59" w:themeFill="accent3"/>
          </w:tcPr>
          <w:p w:rsidR="00F649D2" w:rsidRPr="00AF3CCA" w:rsidRDefault="00F649D2" w:rsidP="00F649D2">
            <w:pPr>
              <w:spacing w:line="288" w:lineRule="auto"/>
              <w:rPr>
                <w:rFonts w:asciiTheme="majorHAnsi" w:hAnsiTheme="majorHAnsi"/>
                <w:b/>
                <w:bCs/>
                <w:i/>
              </w:rPr>
            </w:pPr>
            <w:r w:rsidRPr="00AF3CCA">
              <w:rPr>
                <w:rFonts w:asciiTheme="majorHAnsi" w:hAnsiTheme="majorHAnsi"/>
                <w:b/>
                <w:bCs/>
                <w:i/>
              </w:rPr>
              <w:t>Work Task</w:t>
            </w:r>
          </w:p>
        </w:tc>
        <w:tc>
          <w:tcPr>
            <w:tcW w:w="2808" w:type="dxa"/>
            <w:shd w:val="clear" w:color="auto" w:fill="9BBB59" w:themeFill="accent3"/>
          </w:tcPr>
          <w:p w:rsidR="00F649D2" w:rsidRPr="00AF3CCA" w:rsidRDefault="00F649D2" w:rsidP="00F649D2">
            <w:pPr>
              <w:spacing w:line="288" w:lineRule="auto"/>
              <w:rPr>
                <w:rFonts w:asciiTheme="majorHAnsi" w:hAnsiTheme="majorHAnsi"/>
                <w:b/>
                <w:bCs/>
                <w:i/>
              </w:rPr>
            </w:pPr>
            <w:r w:rsidRPr="00AF3CCA">
              <w:rPr>
                <w:rFonts w:asciiTheme="majorHAnsi" w:hAnsiTheme="majorHAnsi"/>
                <w:b/>
                <w:bCs/>
                <w:i/>
              </w:rPr>
              <w:t>Timing</w:t>
            </w:r>
          </w:p>
        </w:tc>
      </w:tr>
      <w:tr w:rsidR="00F649D2" w:rsidRPr="00AF3CCA" w:rsidTr="008C05CF">
        <w:tc>
          <w:tcPr>
            <w:tcW w:w="6768" w:type="dxa"/>
            <w:vAlign w:val="center"/>
          </w:tcPr>
          <w:p w:rsidR="00F649D2" w:rsidRPr="00AF3CCA" w:rsidRDefault="00F649D2" w:rsidP="008C05CF">
            <w:pPr>
              <w:spacing w:line="288" w:lineRule="auto"/>
              <w:rPr>
                <w:rFonts w:asciiTheme="majorHAnsi" w:hAnsiTheme="majorHAnsi"/>
                <w:bCs/>
              </w:rPr>
            </w:pPr>
            <w:r w:rsidRPr="00104C4F">
              <w:rPr>
                <w:rFonts w:asciiTheme="majorHAnsi" w:hAnsiTheme="majorHAnsi"/>
                <w:bCs/>
              </w:rPr>
              <w:t>Introduce specific products, services and purchasing strategies that promote local build-out</w:t>
            </w:r>
          </w:p>
        </w:tc>
        <w:tc>
          <w:tcPr>
            <w:tcW w:w="2808" w:type="dxa"/>
            <w:vAlign w:val="center"/>
          </w:tcPr>
          <w:p w:rsidR="00F649D2" w:rsidRPr="00F649D2" w:rsidRDefault="00F649D2" w:rsidP="008C05CF">
            <w:pPr>
              <w:spacing w:line="288" w:lineRule="auto"/>
              <w:rPr>
                <w:rFonts w:asciiTheme="majorHAnsi" w:hAnsiTheme="majorHAnsi"/>
                <w:bCs/>
              </w:rPr>
            </w:pPr>
            <w:r>
              <w:rPr>
                <w:rFonts w:asciiTheme="majorHAnsi" w:hAnsiTheme="majorHAnsi"/>
                <w:bCs/>
              </w:rPr>
              <w:t>At launch</w:t>
            </w:r>
            <w:r w:rsidRPr="00104C4F">
              <w:rPr>
                <w:rFonts w:asciiTheme="majorHAnsi" w:hAnsiTheme="majorHAnsi"/>
                <w:bCs/>
              </w:rPr>
              <w:t xml:space="preserve"> and continuing</w:t>
            </w:r>
          </w:p>
        </w:tc>
      </w:tr>
      <w:tr w:rsidR="00F649D2" w:rsidRPr="00AF3CCA" w:rsidTr="008C05CF">
        <w:tc>
          <w:tcPr>
            <w:tcW w:w="6768" w:type="dxa"/>
            <w:vAlign w:val="center"/>
          </w:tcPr>
          <w:p w:rsidR="00F649D2" w:rsidRPr="00AF3CCA" w:rsidRDefault="00F649D2" w:rsidP="008C05CF">
            <w:pPr>
              <w:spacing w:line="288" w:lineRule="auto"/>
              <w:rPr>
                <w:rFonts w:asciiTheme="majorHAnsi" w:hAnsiTheme="majorHAnsi"/>
                <w:bCs/>
              </w:rPr>
            </w:pPr>
            <w:r w:rsidRPr="00104C4F">
              <w:rPr>
                <w:rFonts w:asciiTheme="majorHAnsi" w:hAnsiTheme="majorHAnsi"/>
                <w:bCs/>
              </w:rPr>
              <w:t>Plan for longer term build-out efforts, including program and project funding opportunities</w:t>
            </w:r>
          </w:p>
        </w:tc>
        <w:tc>
          <w:tcPr>
            <w:tcW w:w="2808" w:type="dxa"/>
            <w:vAlign w:val="center"/>
          </w:tcPr>
          <w:p w:rsidR="00F649D2" w:rsidRPr="00AF3CCA" w:rsidRDefault="00F649D2" w:rsidP="008C05CF">
            <w:pPr>
              <w:spacing w:line="288" w:lineRule="auto"/>
              <w:rPr>
                <w:rFonts w:asciiTheme="majorHAnsi" w:hAnsiTheme="majorHAnsi"/>
                <w:bCs/>
              </w:rPr>
            </w:pPr>
            <w:r>
              <w:rPr>
                <w:rFonts w:asciiTheme="majorHAnsi" w:hAnsiTheme="majorHAnsi"/>
                <w:bCs/>
              </w:rPr>
              <w:t>Ongoing</w:t>
            </w:r>
          </w:p>
        </w:tc>
      </w:tr>
      <w:tr w:rsidR="00F649D2" w:rsidRPr="00AF3CCA" w:rsidTr="008C05CF">
        <w:tc>
          <w:tcPr>
            <w:tcW w:w="6768" w:type="dxa"/>
            <w:vAlign w:val="center"/>
          </w:tcPr>
          <w:p w:rsidR="00F649D2" w:rsidRPr="00104C4F" w:rsidRDefault="00F649D2" w:rsidP="008C05CF">
            <w:pPr>
              <w:spacing w:line="288" w:lineRule="auto"/>
              <w:rPr>
                <w:rFonts w:asciiTheme="majorHAnsi" w:hAnsiTheme="majorHAnsi"/>
                <w:bCs/>
              </w:rPr>
            </w:pPr>
            <w:r w:rsidRPr="00104C4F">
              <w:rPr>
                <w:rFonts w:asciiTheme="majorHAnsi" w:hAnsiTheme="majorHAnsi"/>
                <w:bCs/>
              </w:rPr>
              <w:t xml:space="preserve">Develop </w:t>
            </w:r>
            <w:r>
              <w:rPr>
                <w:rFonts w:asciiTheme="majorHAnsi" w:hAnsiTheme="majorHAnsi"/>
                <w:bCs/>
              </w:rPr>
              <w:t xml:space="preserve">metrics and </w:t>
            </w:r>
            <w:r w:rsidRPr="00104C4F">
              <w:rPr>
                <w:rFonts w:asciiTheme="majorHAnsi" w:hAnsiTheme="majorHAnsi"/>
                <w:bCs/>
              </w:rPr>
              <w:t>a cost-effective process for “layering in” local power supplies with SENA power purchases that includes an assessment of whether and when to expand CPSF’s customer base</w:t>
            </w:r>
          </w:p>
        </w:tc>
        <w:tc>
          <w:tcPr>
            <w:tcW w:w="2808" w:type="dxa"/>
            <w:vAlign w:val="center"/>
          </w:tcPr>
          <w:p w:rsidR="00F649D2" w:rsidDel="00AF3CCA" w:rsidRDefault="00F649D2" w:rsidP="008C05CF">
            <w:pPr>
              <w:spacing w:line="288" w:lineRule="auto"/>
              <w:rPr>
                <w:rFonts w:asciiTheme="majorHAnsi" w:hAnsiTheme="majorHAnsi"/>
                <w:bCs/>
              </w:rPr>
            </w:pPr>
            <w:r>
              <w:rPr>
                <w:rFonts w:asciiTheme="majorHAnsi" w:hAnsiTheme="majorHAnsi"/>
                <w:bCs/>
              </w:rPr>
              <w:t>Ongoing</w:t>
            </w:r>
          </w:p>
        </w:tc>
      </w:tr>
    </w:tbl>
    <w:p w:rsidR="00F649D2" w:rsidRPr="009470FF" w:rsidRDefault="00F649D2" w:rsidP="009470FF">
      <w:pPr>
        <w:spacing w:line="288" w:lineRule="auto"/>
        <w:rPr>
          <w:rFonts w:asciiTheme="majorHAnsi" w:hAnsiTheme="majorHAnsi"/>
        </w:rPr>
      </w:pPr>
    </w:p>
    <w:p w:rsidR="00D246DB" w:rsidRPr="00116FA2" w:rsidRDefault="00D246DB" w:rsidP="00073EA4">
      <w:pPr>
        <w:pStyle w:val="Heading1"/>
        <w:numPr>
          <w:ilvl w:val="0"/>
          <w:numId w:val="0"/>
        </w:numPr>
      </w:pPr>
    </w:p>
    <w:p w:rsidR="00D246DB" w:rsidRPr="00116FA2" w:rsidRDefault="00D246DB" w:rsidP="00073EA4">
      <w:pPr>
        <w:pStyle w:val="Heading1"/>
        <w:rPr>
          <w:color w:val="000000"/>
          <w14:textFill>
            <w14:solidFill>
              <w14:srgbClr w14:val="000000">
                <w14:lumMod w14:val="65000"/>
                <w14:lumOff w14:val="35000"/>
              </w14:srgbClr>
            </w14:solidFill>
          </w14:textFill>
        </w:rPr>
      </w:pPr>
      <w:r>
        <w:t xml:space="preserve">COMPONENTS OF BUILD-OUT: </w:t>
      </w:r>
      <w:r w:rsidRPr="0086749C">
        <w:t>ENERGY EFFICIENCY AND RELATED IMPROVEMENTS</w:t>
      </w:r>
    </w:p>
    <w:p w:rsidR="00D246DB" w:rsidRDefault="00D246DB" w:rsidP="00D246DB">
      <w:pPr>
        <w:rPr>
          <w:rFonts w:asciiTheme="majorHAnsi" w:hAnsiTheme="majorHAnsi"/>
          <w:lang w:bidi="en-US"/>
        </w:rPr>
      </w:pPr>
    </w:p>
    <w:p w:rsidR="00F649D2" w:rsidRPr="00104C4F" w:rsidRDefault="00F649D2" w:rsidP="00F649D2">
      <w:pPr>
        <w:spacing w:line="288" w:lineRule="auto"/>
        <w:rPr>
          <w:rFonts w:asciiTheme="majorHAnsi" w:hAnsiTheme="majorHAnsi"/>
          <w:bCs/>
        </w:rPr>
      </w:pPr>
      <w:r w:rsidRPr="00104C4F">
        <w:rPr>
          <w:rFonts w:asciiTheme="majorHAnsi" w:hAnsiTheme="majorHAnsi"/>
          <w:bCs/>
        </w:rPr>
        <w:t>Local build</w:t>
      </w:r>
      <w:r>
        <w:rPr>
          <w:rFonts w:asciiTheme="majorHAnsi" w:hAnsiTheme="majorHAnsi"/>
          <w:bCs/>
        </w:rPr>
        <w:t>-</w:t>
      </w:r>
      <w:r w:rsidRPr="00104C4F">
        <w:rPr>
          <w:rFonts w:asciiTheme="majorHAnsi" w:hAnsiTheme="majorHAnsi"/>
          <w:bCs/>
        </w:rPr>
        <w:t>out for CPSF means developing local energy resources that c</w:t>
      </w:r>
      <w:r>
        <w:rPr>
          <w:rFonts w:asciiTheme="majorHAnsi" w:hAnsiTheme="majorHAnsi"/>
          <w:bCs/>
        </w:rPr>
        <w:t>an</w:t>
      </w:r>
      <w:r w:rsidRPr="00104C4F">
        <w:rPr>
          <w:rFonts w:asciiTheme="majorHAnsi" w:hAnsiTheme="majorHAnsi"/>
          <w:bCs/>
        </w:rPr>
        <w:t xml:space="preserve"> supplant market purchases of electricity. </w:t>
      </w:r>
      <w:r>
        <w:rPr>
          <w:rFonts w:asciiTheme="majorHAnsi" w:hAnsiTheme="majorHAnsi"/>
          <w:bCs/>
        </w:rPr>
        <w:t>C</w:t>
      </w:r>
      <w:r w:rsidRPr="00104C4F">
        <w:rPr>
          <w:rFonts w:asciiTheme="majorHAnsi" w:hAnsiTheme="majorHAnsi"/>
          <w:bCs/>
        </w:rPr>
        <w:t>onsistent with the Board of Supervisors</w:t>
      </w:r>
      <w:r>
        <w:rPr>
          <w:rFonts w:asciiTheme="majorHAnsi" w:hAnsiTheme="majorHAnsi"/>
          <w:bCs/>
        </w:rPr>
        <w:t>’</w:t>
      </w:r>
      <w:r w:rsidRPr="00104C4F">
        <w:rPr>
          <w:rFonts w:asciiTheme="majorHAnsi" w:hAnsiTheme="majorHAnsi"/>
          <w:bCs/>
        </w:rPr>
        <w:t xml:space="preserve"> policies, the </w:t>
      </w:r>
      <w:r>
        <w:rPr>
          <w:rFonts w:asciiTheme="majorHAnsi" w:hAnsiTheme="majorHAnsi"/>
          <w:bCs/>
        </w:rPr>
        <w:t xml:space="preserve">SFPUC </w:t>
      </w:r>
      <w:r w:rsidRPr="00104C4F">
        <w:rPr>
          <w:rFonts w:asciiTheme="majorHAnsi" w:hAnsiTheme="majorHAnsi"/>
          <w:bCs/>
        </w:rPr>
        <w:t xml:space="preserve">Commission’s </w:t>
      </w:r>
      <w:r>
        <w:rPr>
          <w:rFonts w:asciiTheme="majorHAnsi" w:hAnsiTheme="majorHAnsi"/>
          <w:bCs/>
        </w:rPr>
        <w:t xml:space="preserve">adopted </w:t>
      </w:r>
      <w:r w:rsidRPr="00104C4F">
        <w:rPr>
          <w:rFonts w:asciiTheme="majorHAnsi" w:hAnsiTheme="majorHAnsi"/>
          <w:bCs/>
        </w:rPr>
        <w:t>policy statements and the ERP</w:t>
      </w:r>
      <w:r>
        <w:rPr>
          <w:rFonts w:asciiTheme="majorHAnsi" w:hAnsiTheme="majorHAnsi"/>
          <w:bCs/>
        </w:rPr>
        <w:t>, t</w:t>
      </w:r>
      <w:r w:rsidRPr="00104C4F">
        <w:rPr>
          <w:rFonts w:asciiTheme="majorHAnsi" w:hAnsiTheme="majorHAnsi"/>
          <w:bCs/>
        </w:rPr>
        <w:t xml:space="preserve">he focus of the local build-out has always been on energy efficiency and renewable facilities.  Local build-out can also include energy projects and strategies that are not technically </w:t>
      </w:r>
      <w:r w:rsidR="004B0108">
        <w:rPr>
          <w:rFonts w:asciiTheme="majorHAnsi" w:hAnsiTheme="majorHAnsi"/>
          <w:bCs/>
        </w:rPr>
        <w:t>classified as</w:t>
      </w:r>
      <w:r w:rsidR="004B0108" w:rsidRPr="00104C4F">
        <w:rPr>
          <w:rFonts w:asciiTheme="majorHAnsi" w:hAnsiTheme="majorHAnsi"/>
          <w:bCs/>
        </w:rPr>
        <w:t xml:space="preserve"> </w:t>
      </w:r>
      <w:r w:rsidRPr="00104C4F">
        <w:rPr>
          <w:rFonts w:asciiTheme="majorHAnsi" w:hAnsiTheme="majorHAnsi"/>
          <w:bCs/>
        </w:rPr>
        <w:t xml:space="preserve">renewable </w:t>
      </w:r>
      <w:r w:rsidR="004B0108">
        <w:rPr>
          <w:rFonts w:asciiTheme="majorHAnsi" w:hAnsiTheme="majorHAnsi"/>
          <w:bCs/>
        </w:rPr>
        <w:t>under</w:t>
      </w:r>
      <w:r w:rsidR="004B0108" w:rsidRPr="00104C4F">
        <w:rPr>
          <w:rFonts w:asciiTheme="majorHAnsi" w:hAnsiTheme="majorHAnsi"/>
          <w:bCs/>
        </w:rPr>
        <w:t xml:space="preserve"> </w:t>
      </w:r>
      <w:r w:rsidRPr="00104C4F">
        <w:rPr>
          <w:rFonts w:asciiTheme="majorHAnsi" w:hAnsiTheme="majorHAnsi"/>
          <w:bCs/>
        </w:rPr>
        <w:t xml:space="preserve">California </w:t>
      </w:r>
      <w:r w:rsidR="004B0108">
        <w:rPr>
          <w:rFonts w:asciiTheme="majorHAnsi" w:hAnsiTheme="majorHAnsi"/>
          <w:bCs/>
        </w:rPr>
        <w:t>state law,</w:t>
      </w:r>
      <w:r w:rsidR="004B0108" w:rsidRPr="00104C4F">
        <w:rPr>
          <w:rFonts w:asciiTheme="majorHAnsi" w:hAnsiTheme="majorHAnsi"/>
          <w:bCs/>
        </w:rPr>
        <w:t xml:space="preserve"> </w:t>
      </w:r>
      <w:r w:rsidRPr="00104C4F">
        <w:rPr>
          <w:rFonts w:asciiTheme="majorHAnsi" w:hAnsiTheme="majorHAnsi"/>
          <w:bCs/>
        </w:rPr>
        <w:t>but that can be “greened” with the purchase of renewable energy credits</w:t>
      </w:r>
      <w:r w:rsidR="004324DC">
        <w:rPr>
          <w:rFonts w:asciiTheme="majorHAnsi" w:hAnsiTheme="majorHAnsi"/>
          <w:bCs/>
        </w:rPr>
        <w:t xml:space="preserve"> (RECs)</w:t>
      </w:r>
      <w:r w:rsidRPr="00104C4F">
        <w:rPr>
          <w:rFonts w:asciiTheme="majorHAnsi" w:hAnsiTheme="majorHAnsi"/>
          <w:bCs/>
        </w:rPr>
        <w:t>.</w:t>
      </w:r>
    </w:p>
    <w:p w:rsidR="00F649D2" w:rsidRPr="00116FA2" w:rsidRDefault="00F649D2" w:rsidP="00F649D2">
      <w:pPr>
        <w:spacing w:line="288" w:lineRule="auto"/>
        <w:rPr>
          <w:rFonts w:asciiTheme="majorHAnsi" w:hAnsiTheme="majorHAnsi"/>
          <w:lang w:bidi="en-US"/>
        </w:rPr>
      </w:pPr>
    </w:p>
    <w:p w:rsidR="00F649D2" w:rsidRPr="00104C4F" w:rsidRDefault="00892E9E" w:rsidP="00F649D2">
      <w:pPr>
        <w:spacing w:line="288" w:lineRule="auto"/>
        <w:rPr>
          <w:rFonts w:asciiTheme="majorHAnsi" w:hAnsiTheme="majorHAnsi"/>
          <w:bCs/>
        </w:rPr>
      </w:pPr>
      <w:r>
        <w:rPr>
          <w:rFonts w:asciiTheme="majorHAnsi" w:hAnsiTheme="majorHAnsi"/>
          <w:bCs/>
        </w:rPr>
        <w:t>The City-adopted “loading order”</w:t>
      </w:r>
      <w:r>
        <w:rPr>
          <w:rStyle w:val="FootnoteReference"/>
          <w:rFonts w:asciiTheme="majorHAnsi" w:hAnsiTheme="majorHAnsi"/>
          <w:bCs/>
        </w:rPr>
        <w:footnoteReference w:id="4"/>
      </w:r>
      <w:r>
        <w:rPr>
          <w:rFonts w:asciiTheme="majorHAnsi" w:hAnsiTheme="majorHAnsi"/>
          <w:bCs/>
        </w:rPr>
        <w:t xml:space="preserve"> for new energy resources places</w:t>
      </w:r>
      <w:r w:rsidRPr="00104C4F">
        <w:rPr>
          <w:rFonts w:asciiTheme="majorHAnsi" w:hAnsiTheme="majorHAnsi"/>
          <w:bCs/>
        </w:rPr>
        <w:t xml:space="preserve"> </w:t>
      </w:r>
      <w:r w:rsidR="00F649D2" w:rsidRPr="00104C4F">
        <w:rPr>
          <w:rFonts w:asciiTheme="majorHAnsi" w:hAnsiTheme="majorHAnsi"/>
          <w:bCs/>
        </w:rPr>
        <w:t>energy efficiency first, that is, a priority energy resource for San Francisco consumers</w:t>
      </w:r>
      <w:r>
        <w:rPr>
          <w:rFonts w:asciiTheme="majorHAnsi" w:hAnsiTheme="majorHAnsi"/>
          <w:bCs/>
        </w:rPr>
        <w:t xml:space="preserve"> to meet future electricity needs</w:t>
      </w:r>
      <w:r w:rsidR="00F649D2" w:rsidRPr="00104C4F">
        <w:rPr>
          <w:rFonts w:asciiTheme="majorHAnsi" w:hAnsiTheme="majorHAnsi"/>
          <w:bCs/>
        </w:rPr>
        <w:t xml:space="preserve">.  For CPSF, </w:t>
      </w:r>
      <w:r w:rsidR="00E35D18">
        <w:rPr>
          <w:rFonts w:asciiTheme="majorHAnsi" w:hAnsiTheme="majorHAnsi"/>
          <w:bCs/>
        </w:rPr>
        <w:t xml:space="preserve">effective </w:t>
      </w:r>
      <w:r w:rsidR="00F649D2" w:rsidRPr="00104C4F">
        <w:rPr>
          <w:rFonts w:asciiTheme="majorHAnsi" w:hAnsiTheme="majorHAnsi"/>
          <w:bCs/>
        </w:rPr>
        <w:t xml:space="preserve">energy efficiency improvements would </w:t>
      </w:r>
      <w:r w:rsidR="00E35D18">
        <w:rPr>
          <w:rFonts w:asciiTheme="majorHAnsi" w:hAnsiTheme="majorHAnsi"/>
          <w:bCs/>
        </w:rPr>
        <w:t xml:space="preserve">not only </w:t>
      </w:r>
      <w:r w:rsidR="00F649D2" w:rsidRPr="00104C4F">
        <w:rPr>
          <w:rFonts w:asciiTheme="majorHAnsi" w:hAnsiTheme="majorHAnsi"/>
          <w:bCs/>
        </w:rPr>
        <w:t xml:space="preserve">satisfy </w:t>
      </w:r>
      <w:r w:rsidR="00E35D18">
        <w:rPr>
          <w:rFonts w:asciiTheme="majorHAnsi" w:hAnsiTheme="majorHAnsi"/>
          <w:bCs/>
        </w:rPr>
        <w:t>the City’s</w:t>
      </w:r>
      <w:r w:rsidR="00F649D2" w:rsidRPr="00104C4F">
        <w:rPr>
          <w:rFonts w:asciiTheme="majorHAnsi" w:hAnsiTheme="majorHAnsi"/>
          <w:bCs/>
        </w:rPr>
        <w:t xml:space="preserve"> goals related to GHG reductions, </w:t>
      </w:r>
      <w:r w:rsidR="00E35D18">
        <w:rPr>
          <w:rFonts w:asciiTheme="majorHAnsi" w:hAnsiTheme="majorHAnsi"/>
          <w:bCs/>
        </w:rPr>
        <w:t>but would also be</w:t>
      </w:r>
      <w:r w:rsidR="00F649D2" w:rsidRPr="00104C4F">
        <w:rPr>
          <w:rFonts w:asciiTheme="majorHAnsi" w:hAnsiTheme="majorHAnsi"/>
          <w:bCs/>
        </w:rPr>
        <w:t xml:space="preserve"> inexpensive relative to market energy purchases.  </w:t>
      </w:r>
      <w:r w:rsidR="00E35D18">
        <w:rPr>
          <w:rFonts w:asciiTheme="majorHAnsi" w:hAnsiTheme="majorHAnsi"/>
          <w:bCs/>
        </w:rPr>
        <w:t>Moreover</w:t>
      </w:r>
      <w:r w:rsidR="00F649D2" w:rsidRPr="00104C4F">
        <w:rPr>
          <w:rFonts w:asciiTheme="majorHAnsi" w:hAnsiTheme="majorHAnsi"/>
          <w:bCs/>
        </w:rPr>
        <w:t xml:space="preserve">, energy efficiency can reduce total </w:t>
      </w:r>
      <w:r w:rsidR="00E35D18">
        <w:rPr>
          <w:rFonts w:asciiTheme="majorHAnsi" w:hAnsiTheme="majorHAnsi"/>
          <w:bCs/>
        </w:rPr>
        <w:t>electric</w:t>
      </w:r>
      <w:r w:rsidR="00F649D2" w:rsidRPr="00104C4F">
        <w:rPr>
          <w:rFonts w:asciiTheme="majorHAnsi" w:hAnsiTheme="majorHAnsi"/>
          <w:bCs/>
        </w:rPr>
        <w:t xml:space="preserve"> bills, which will be especially important to many CPSF customers if CPSF’s rates are higher than PG&amp;E’s rates.</w:t>
      </w:r>
    </w:p>
    <w:p w:rsidR="00F649D2" w:rsidRPr="00104C4F" w:rsidRDefault="00F649D2" w:rsidP="00F649D2">
      <w:pPr>
        <w:spacing w:line="288" w:lineRule="auto"/>
        <w:rPr>
          <w:rFonts w:asciiTheme="majorHAnsi" w:hAnsiTheme="majorHAnsi"/>
          <w:bCs/>
        </w:rPr>
      </w:pPr>
    </w:p>
    <w:p w:rsidR="00F649D2" w:rsidRPr="00104C4F" w:rsidRDefault="00F649D2" w:rsidP="00F649D2">
      <w:pPr>
        <w:spacing w:line="288" w:lineRule="auto"/>
        <w:rPr>
          <w:rFonts w:asciiTheme="majorHAnsi" w:hAnsiTheme="majorHAnsi"/>
          <w:bCs/>
        </w:rPr>
      </w:pPr>
      <w:r w:rsidRPr="00104C4F">
        <w:rPr>
          <w:rFonts w:asciiTheme="majorHAnsi" w:hAnsiTheme="majorHAnsi"/>
          <w:bCs/>
        </w:rPr>
        <w:t xml:space="preserve">In the short run, energy efficiency would not increase CPSF revenues or margin.  However, energy efficiency improvements could allow CPSF to </w:t>
      </w:r>
      <w:r w:rsidR="00E35D18">
        <w:rPr>
          <w:rFonts w:asciiTheme="majorHAnsi" w:hAnsiTheme="majorHAnsi"/>
          <w:bCs/>
        </w:rPr>
        <w:t xml:space="preserve">reduce participating customers’ load and </w:t>
      </w:r>
      <w:r w:rsidRPr="00104C4F">
        <w:rPr>
          <w:rFonts w:asciiTheme="majorHAnsi" w:hAnsiTheme="majorHAnsi"/>
          <w:bCs/>
        </w:rPr>
        <w:t xml:space="preserve">cost-effectively expand </w:t>
      </w:r>
      <w:r w:rsidR="00E35D18">
        <w:rPr>
          <w:rFonts w:asciiTheme="majorHAnsi" w:hAnsiTheme="majorHAnsi"/>
          <w:bCs/>
        </w:rPr>
        <w:t>the</w:t>
      </w:r>
      <w:r w:rsidRPr="00104C4F">
        <w:rPr>
          <w:rFonts w:asciiTheme="majorHAnsi" w:hAnsiTheme="majorHAnsi"/>
          <w:bCs/>
        </w:rPr>
        <w:t xml:space="preserve"> program </w:t>
      </w:r>
      <w:r w:rsidR="00E35D18">
        <w:rPr>
          <w:rFonts w:asciiTheme="majorHAnsi" w:hAnsiTheme="majorHAnsi"/>
          <w:bCs/>
        </w:rPr>
        <w:t>to more San Francisco customers—as required by California law—by making it more attractive and accessible to</w:t>
      </w:r>
      <w:r w:rsidRPr="00104C4F">
        <w:rPr>
          <w:rFonts w:asciiTheme="majorHAnsi" w:hAnsiTheme="majorHAnsi"/>
          <w:bCs/>
        </w:rPr>
        <w:t xml:space="preserve"> new customers.  Some demand side management programs, such as HVAC cycling, may also reduce program costs by reducing power requirements during periods when power supplies are most expensive.</w:t>
      </w:r>
    </w:p>
    <w:p w:rsidR="00F649D2" w:rsidRPr="00104C4F" w:rsidRDefault="00F649D2" w:rsidP="00F649D2">
      <w:pPr>
        <w:spacing w:line="288" w:lineRule="auto"/>
        <w:rPr>
          <w:rFonts w:asciiTheme="majorHAnsi" w:hAnsiTheme="majorHAnsi"/>
          <w:bCs/>
        </w:rPr>
      </w:pPr>
    </w:p>
    <w:p w:rsidR="00F649D2" w:rsidRPr="00104C4F" w:rsidRDefault="00496A1F" w:rsidP="00F649D2">
      <w:pPr>
        <w:spacing w:line="288" w:lineRule="auto"/>
        <w:rPr>
          <w:rFonts w:asciiTheme="majorHAnsi" w:hAnsiTheme="majorHAnsi"/>
          <w:bCs/>
        </w:rPr>
      </w:pPr>
      <w:r>
        <w:rPr>
          <w:rFonts w:asciiTheme="majorHAnsi" w:hAnsiTheme="majorHAnsi"/>
          <w:bCs/>
        </w:rPr>
        <w:t>T</w:t>
      </w:r>
      <w:r w:rsidR="00F649D2" w:rsidRPr="00104C4F">
        <w:rPr>
          <w:rFonts w:asciiTheme="majorHAnsi" w:hAnsiTheme="majorHAnsi"/>
          <w:bCs/>
        </w:rPr>
        <w:t xml:space="preserve">he City’s municipal buildings and customers are </w:t>
      </w:r>
      <w:r>
        <w:rPr>
          <w:rFonts w:asciiTheme="majorHAnsi" w:hAnsiTheme="majorHAnsi"/>
          <w:bCs/>
        </w:rPr>
        <w:t xml:space="preserve">probably not </w:t>
      </w:r>
      <w:r w:rsidR="00F649D2" w:rsidRPr="00104C4F">
        <w:rPr>
          <w:rFonts w:asciiTheme="majorHAnsi" w:hAnsiTheme="majorHAnsi"/>
          <w:bCs/>
        </w:rPr>
        <w:t xml:space="preserve">candidates for CPSF’s energy efficiency improvements because the City serves its own load with </w:t>
      </w:r>
      <w:r w:rsidR="009F7C88">
        <w:rPr>
          <w:rFonts w:asciiTheme="majorHAnsi" w:hAnsiTheme="majorHAnsi"/>
          <w:bCs/>
        </w:rPr>
        <w:t xml:space="preserve">clean </w:t>
      </w:r>
      <w:r w:rsidR="00F649D2" w:rsidRPr="00104C4F">
        <w:rPr>
          <w:rFonts w:asciiTheme="majorHAnsi" w:hAnsiTheme="majorHAnsi"/>
          <w:bCs/>
        </w:rPr>
        <w:t xml:space="preserve">Hetch Hetchy power and ancillary services.  Although energy efficiency improvements on municipal properties would </w:t>
      </w:r>
      <w:r w:rsidR="009F7C88">
        <w:rPr>
          <w:rFonts w:asciiTheme="majorHAnsi" w:hAnsiTheme="majorHAnsi"/>
          <w:bCs/>
        </w:rPr>
        <w:t>be valuable to</w:t>
      </w:r>
      <w:r w:rsidR="009F7C88" w:rsidRPr="00104C4F">
        <w:rPr>
          <w:rFonts w:asciiTheme="majorHAnsi" w:hAnsiTheme="majorHAnsi"/>
          <w:bCs/>
        </w:rPr>
        <w:t xml:space="preserve"> </w:t>
      </w:r>
      <w:r w:rsidR="00F649D2" w:rsidRPr="00104C4F">
        <w:rPr>
          <w:rFonts w:asciiTheme="majorHAnsi" w:hAnsiTheme="majorHAnsi"/>
          <w:bCs/>
        </w:rPr>
        <w:t xml:space="preserve">the City in many ways, CPSF’s support of municipal projects would not </w:t>
      </w:r>
      <w:r w:rsidR="009F7C88">
        <w:rPr>
          <w:rFonts w:asciiTheme="majorHAnsi" w:hAnsiTheme="majorHAnsi"/>
          <w:bCs/>
        </w:rPr>
        <w:t xml:space="preserve">directly </w:t>
      </w:r>
      <w:r w:rsidR="00F649D2" w:rsidRPr="00104C4F">
        <w:rPr>
          <w:rFonts w:asciiTheme="majorHAnsi" w:hAnsiTheme="majorHAnsi"/>
          <w:bCs/>
        </w:rPr>
        <w:t xml:space="preserve">benefit CPSF customers </w:t>
      </w:r>
      <w:r w:rsidR="009F7C88">
        <w:rPr>
          <w:rFonts w:asciiTheme="majorHAnsi" w:hAnsiTheme="majorHAnsi"/>
          <w:bCs/>
        </w:rPr>
        <w:t>or</w:t>
      </w:r>
      <w:r w:rsidR="00F649D2" w:rsidRPr="00104C4F">
        <w:rPr>
          <w:rFonts w:asciiTheme="majorHAnsi" w:hAnsiTheme="majorHAnsi"/>
          <w:bCs/>
        </w:rPr>
        <w:t xml:space="preserve"> promote the sustainability of CPSF, a concern that will be especially critical in the early years of CPSF’s operation.  In addition, because the City’s municipal buildings pay very low electricity rates to </w:t>
      </w:r>
      <w:r w:rsidR="009F7C88">
        <w:rPr>
          <w:rFonts w:asciiTheme="majorHAnsi" w:hAnsiTheme="majorHAnsi"/>
          <w:bCs/>
        </w:rPr>
        <w:t>the SFPUC</w:t>
      </w:r>
      <w:r w:rsidR="00F649D2" w:rsidRPr="00104C4F">
        <w:rPr>
          <w:rFonts w:asciiTheme="majorHAnsi" w:hAnsiTheme="majorHAnsi"/>
          <w:bCs/>
        </w:rPr>
        <w:t>, they may require more inducements than other utility customers to spend scarce resources on energy efficiency improvements.</w:t>
      </w:r>
    </w:p>
    <w:p w:rsidR="00F649D2" w:rsidRPr="00104C4F" w:rsidRDefault="00F649D2" w:rsidP="00F649D2">
      <w:pPr>
        <w:spacing w:line="288" w:lineRule="auto"/>
        <w:rPr>
          <w:rFonts w:asciiTheme="majorHAnsi" w:hAnsiTheme="majorHAnsi"/>
          <w:bCs/>
        </w:rPr>
      </w:pPr>
    </w:p>
    <w:p w:rsidR="009F7C88" w:rsidRPr="00BF7139" w:rsidRDefault="00B63778" w:rsidP="008C05CF">
      <w:pPr>
        <w:spacing w:line="288" w:lineRule="auto"/>
        <w:ind w:firstLine="720"/>
        <w:rPr>
          <w:rFonts w:asciiTheme="majorHAnsi" w:hAnsiTheme="majorHAnsi"/>
          <w:bCs/>
          <w:u w:val="single"/>
        </w:rPr>
      </w:pPr>
      <w:r w:rsidRPr="00B63778">
        <w:rPr>
          <w:rFonts w:asciiTheme="majorHAnsi" w:hAnsiTheme="majorHAnsi"/>
          <w:b/>
          <w:bCs/>
          <w:u w:val="single"/>
        </w:rPr>
        <w:t>RESIDENTIAL CUSTOMER PROGRAMS</w:t>
      </w:r>
    </w:p>
    <w:p w:rsidR="00F649D2" w:rsidRPr="009F7C88" w:rsidRDefault="009F7C88" w:rsidP="009F7C88">
      <w:pPr>
        <w:spacing w:line="288" w:lineRule="auto"/>
        <w:rPr>
          <w:rFonts w:asciiTheme="majorHAnsi" w:hAnsiTheme="majorHAnsi"/>
          <w:bCs/>
        </w:rPr>
      </w:pPr>
      <w:r>
        <w:rPr>
          <w:rFonts w:asciiTheme="majorHAnsi" w:hAnsiTheme="majorHAnsi"/>
          <w:bCs/>
        </w:rPr>
        <w:t xml:space="preserve">Upon launch, </w:t>
      </w:r>
      <w:r w:rsidR="00F649D2" w:rsidRPr="009F7C88">
        <w:rPr>
          <w:rFonts w:asciiTheme="majorHAnsi" w:hAnsiTheme="majorHAnsi"/>
          <w:bCs/>
        </w:rPr>
        <w:t xml:space="preserve">CPSF will immediately have funds to support residential energy efficiency programs.  Specifically, the City </w:t>
      </w:r>
      <w:r>
        <w:rPr>
          <w:rFonts w:asciiTheme="majorHAnsi" w:hAnsiTheme="majorHAnsi"/>
          <w:bCs/>
        </w:rPr>
        <w:t xml:space="preserve">has </w:t>
      </w:r>
      <w:r w:rsidR="00F649D2" w:rsidRPr="009F7C88">
        <w:rPr>
          <w:rFonts w:asciiTheme="majorHAnsi" w:hAnsiTheme="majorHAnsi"/>
          <w:bCs/>
        </w:rPr>
        <w:t xml:space="preserve">allocated $2 million for CPSF to spend on </w:t>
      </w:r>
      <w:r>
        <w:rPr>
          <w:rFonts w:asciiTheme="majorHAnsi" w:hAnsiTheme="majorHAnsi"/>
          <w:bCs/>
        </w:rPr>
        <w:t xml:space="preserve">energy efficiency services targeting </w:t>
      </w:r>
      <w:r w:rsidR="00F649D2" w:rsidRPr="009F7C88">
        <w:rPr>
          <w:rFonts w:asciiTheme="majorHAnsi" w:hAnsiTheme="majorHAnsi"/>
          <w:bCs/>
        </w:rPr>
        <w:t xml:space="preserve">low income </w:t>
      </w:r>
      <w:r>
        <w:rPr>
          <w:rFonts w:asciiTheme="majorHAnsi" w:hAnsiTheme="majorHAnsi"/>
          <w:bCs/>
        </w:rPr>
        <w:t>customers</w:t>
      </w:r>
      <w:r w:rsidR="00F649D2" w:rsidRPr="009F7C88">
        <w:rPr>
          <w:rFonts w:asciiTheme="majorHAnsi" w:hAnsiTheme="majorHAnsi"/>
          <w:bCs/>
        </w:rPr>
        <w:t xml:space="preserve">.  </w:t>
      </w:r>
      <w:r>
        <w:rPr>
          <w:rFonts w:asciiTheme="majorHAnsi" w:hAnsiTheme="majorHAnsi"/>
          <w:bCs/>
        </w:rPr>
        <w:t>The program</w:t>
      </w:r>
      <w:r w:rsidR="00F649D2" w:rsidRPr="009F7C88">
        <w:rPr>
          <w:rFonts w:asciiTheme="majorHAnsi" w:hAnsiTheme="majorHAnsi"/>
          <w:bCs/>
        </w:rPr>
        <w:t xml:space="preserve"> may have additional funds from customer electricity sales and, at some point, from bond revenues. </w:t>
      </w:r>
    </w:p>
    <w:p w:rsidR="00F649D2" w:rsidRPr="00104C4F" w:rsidRDefault="00F649D2" w:rsidP="00F649D2">
      <w:pPr>
        <w:spacing w:line="288" w:lineRule="auto"/>
        <w:rPr>
          <w:rFonts w:asciiTheme="majorHAnsi" w:hAnsiTheme="majorHAnsi"/>
          <w:bCs/>
        </w:rPr>
      </w:pPr>
    </w:p>
    <w:p w:rsidR="00F649D2" w:rsidRPr="00104C4F" w:rsidRDefault="00F649D2" w:rsidP="00F649D2">
      <w:pPr>
        <w:spacing w:line="288" w:lineRule="auto"/>
        <w:rPr>
          <w:rFonts w:asciiTheme="majorHAnsi" w:hAnsiTheme="majorHAnsi"/>
          <w:bCs/>
        </w:rPr>
      </w:pPr>
      <w:r w:rsidRPr="00104C4F">
        <w:rPr>
          <w:rFonts w:asciiTheme="majorHAnsi" w:hAnsiTheme="majorHAnsi"/>
          <w:bCs/>
        </w:rPr>
        <w:t xml:space="preserve">Most of CPSF’s initial customer base is likely to be comprised of relatively small electricity users who live in apartments and condominiums in the </w:t>
      </w:r>
      <w:r w:rsidR="005E74A6">
        <w:rPr>
          <w:rFonts w:asciiTheme="majorHAnsi" w:hAnsiTheme="majorHAnsi"/>
          <w:bCs/>
        </w:rPr>
        <w:t>northeast and southeast portions of</w:t>
      </w:r>
      <w:r w:rsidRPr="00104C4F">
        <w:rPr>
          <w:rFonts w:asciiTheme="majorHAnsi" w:hAnsiTheme="majorHAnsi"/>
          <w:bCs/>
        </w:rPr>
        <w:t xml:space="preserve"> the City.  Residential energy efficiency programs are not likely to be cost-effective if they focus on individual customer units and are limited to improvements in the efficiency of electricity demand.  On the other hand, multi-unit residential buildings within the CPSF customer territory may be good candidates for energy retrofits focusing on common areas and facilities.  </w:t>
      </w:r>
    </w:p>
    <w:p w:rsidR="00F649D2" w:rsidRPr="00104C4F" w:rsidRDefault="00F649D2" w:rsidP="00F649D2">
      <w:pPr>
        <w:spacing w:line="288" w:lineRule="auto"/>
        <w:rPr>
          <w:rFonts w:asciiTheme="majorHAnsi" w:hAnsiTheme="majorHAnsi"/>
          <w:bCs/>
        </w:rPr>
      </w:pPr>
    </w:p>
    <w:p w:rsidR="00F649D2" w:rsidRDefault="00F649D2" w:rsidP="00F649D2">
      <w:pPr>
        <w:spacing w:line="288" w:lineRule="auto"/>
        <w:rPr>
          <w:rFonts w:asciiTheme="majorHAnsi" w:hAnsiTheme="majorHAnsi"/>
          <w:bCs/>
        </w:rPr>
      </w:pPr>
      <w:r w:rsidRPr="00104C4F">
        <w:rPr>
          <w:rFonts w:asciiTheme="majorHAnsi" w:hAnsiTheme="majorHAnsi"/>
          <w:bCs/>
        </w:rPr>
        <w:t>To make the most out of limited funds, CPSF could coordinate its efforts with the City’s Department of the Environment</w:t>
      </w:r>
      <w:r w:rsidR="009F7C88">
        <w:rPr>
          <w:rFonts w:asciiTheme="majorHAnsi" w:hAnsiTheme="majorHAnsi"/>
          <w:bCs/>
        </w:rPr>
        <w:t xml:space="preserve"> (SFE)</w:t>
      </w:r>
      <w:r w:rsidRPr="00104C4F">
        <w:rPr>
          <w:rFonts w:asciiTheme="majorHAnsi" w:hAnsiTheme="majorHAnsi"/>
          <w:bCs/>
        </w:rPr>
        <w:t xml:space="preserve">, which manages a number of residential energy efficiency programs. </w:t>
      </w:r>
      <w:r w:rsidR="00496A1F">
        <w:rPr>
          <w:rFonts w:asciiTheme="majorHAnsi" w:hAnsiTheme="majorHAnsi"/>
          <w:bCs/>
        </w:rPr>
        <w:t xml:space="preserve">The Mayor’s Office of Housing may be able to assist with identifying good project candidates and helping to coordinate their management. </w:t>
      </w:r>
      <w:r w:rsidRPr="00104C4F">
        <w:rPr>
          <w:rFonts w:asciiTheme="majorHAnsi" w:hAnsiTheme="majorHAnsi"/>
          <w:bCs/>
        </w:rPr>
        <w:t>Other nonprofit and government programs may also permit leveraging to improve electricity consumption while, for example,  improving the efficiency of natural gas use or provid</w:t>
      </w:r>
      <w:r w:rsidR="009F7C88">
        <w:rPr>
          <w:rFonts w:asciiTheme="majorHAnsi" w:hAnsiTheme="majorHAnsi"/>
          <w:bCs/>
        </w:rPr>
        <w:t>ing</w:t>
      </w:r>
      <w:r w:rsidRPr="00104C4F">
        <w:rPr>
          <w:rFonts w:asciiTheme="majorHAnsi" w:hAnsiTheme="majorHAnsi"/>
          <w:bCs/>
        </w:rPr>
        <w:t xml:space="preserve"> home repairs to low income households.  </w:t>
      </w:r>
    </w:p>
    <w:p w:rsidR="009F7C88" w:rsidRPr="00104C4F" w:rsidRDefault="009F7C88" w:rsidP="00F649D2">
      <w:pPr>
        <w:spacing w:line="288" w:lineRule="auto"/>
        <w:rPr>
          <w:rFonts w:asciiTheme="majorHAnsi" w:hAnsiTheme="majorHAnsi"/>
          <w:bCs/>
        </w:rPr>
      </w:pPr>
    </w:p>
    <w:p w:rsidR="00F649D2" w:rsidRPr="00104C4F" w:rsidRDefault="009F7C88" w:rsidP="00F649D2">
      <w:pPr>
        <w:spacing w:line="288" w:lineRule="auto"/>
        <w:rPr>
          <w:rFonts w:asciiTheme="majorHAnsi" w:hAnsiTheme="majorHAnsi"/>
          <w:b/>
          <w:bCs/>
          <w:i/>
        </w:rPr>
      </w:pPr>
      <w:r>
        <w:rPr>
          <w:rFonts w:asciiTheme="majorHAnsi" w:hAnsiTheme="majorHAnsi"/>
          <w:b/>
          <w:bCs/>
          <w:i/>
        </w:rPr>
        <w:t>Potential Concerns:</w:t>
      </w:r>
    </w:p>
    <w:p w:rsidR="00F649D2" w:rsidRPr="00104C4F" w:rsidRDefault="00F649D2" w:rsidP="00F649D2">
      <w:pPr>
        <w:pStyle w:val="ListParagraph"/>
        <w:numPr>
          <w:ilvl w:val="0"/>
          <w:numId w:val="19"/>
        </w:numPr>
        <w:spacing w:line="288" w:lineRule="auto"/>
        <w:rPr>
          <w:rFonts w:asciiTheme="majorHAnsi" w:hAnsiTheme="majorHAnsi"/>
          <w:bCs/>
        </w:rPr>
      </w:pPr>
      <w:r w:rsidRPr="00104C4F">
        <w:rPr>
          <w:rFonts w:asciiTheme="majorHAnsi" w:hAnsiTheme="majorHAnsi"/>
          <w:bCs/>
        </w:rPr>
        <w:t>Whether CPSF should limit participation in residential energy efficiency programs to CCA customer properties;</w:t>
      </w:r>
    </w:p>
    <w:p w:rsidR="00F649D2" w:rsidRPr="00104C4F" w:rsidRDefault="00F649D2" w:rsidP="00F649D2">
      <w:pPr>
        <w:pStyle w:val="ListParagraph"/>
        <w:numPr>
          <w:ilvl w:val="0"/>
          <w:numId w:val="19"/>
        </w:numPr>
        <w:spacing w:line="288" w:lineRule="auto"/>
        <w:rPr>
          <w:rFonts w:asciiTheme="majorHAnsi" w:hAnsiTheme="majorHAnsi"/>
          <w:bCs/>
        </w:rPr>
      </w:pPr>
      <w:r w:rsidRPr="00104C4F">
        <w:rPr>
          <w:rFonts w:asciiTheme="majorHAnsi" w:hAnsiTheme="majorHAnsi"/>
          <w:bCs/>
        </w:rPr>
        <w:t>Whether CPSF’s efforts to improve the efficiency of electricity use should include program components for  natural gas or other household improvements;</w:t>
      </w:r>
    </w:p>
    <w:p w:rsidR="00F649D2" w:rsidRPr="00104C4F" w:rsidRDefault="00F649D2" w:rsidP="00F649D2">
      <w:pPr>
        <w:pStyle w:val="ListParagraph"/>
        <w:numPr>
          <w:ilvl w:val="0"/>
          <w:numId w:val="19"/>
        </w:numPr>
        <w:spacing w:line="288" w:lineRule="auto"/>
        <w:rPr>
          <w:rFonts w:asciiTheme="majorHAnsi" w:hAnsiTheme="majorHAnsi"/>
          <w:bCs/>
        </w:rPr>
      </w:pPr>
      <w:r w:rsidRPr="00104C4F">
        <w:rPr>
          <w:rFonts w:asciiTheme="majorHAnsi" w:hAnsiTheme="majorHAnsi"/>
          <w:bCs/>
        </w:rPr>
        <w:t>Whether CPSF should target program funds for projects</w:t>
      </w:r>
      <w:r w:rsidR="0002592C">
        <w:rPr>
          <w:rFonts w:asciiTheme="majorHAnsi" w:hAnsiTheme="majorHAnsi"/>
          <w:bCs/>
        </w:rPr>
        <w:t xml:space="preserve"> that are most cost-effective—</w:t>
      </w:r>
      <w:r w:rsidRPr="00104C4F">
        <w:rPr>
          <w:rFonts w:asciiTheme="majorHAnsi" w:hAnsiTheme="majorHAnsi"/>
          <w:bCs/>
        </w:rPr>
        <w:t>for</w:t>
      </w:r>
      <w:r w:rsidR="0002592C">
        <w:rPr>
          <w:rFonts w:asciiTheme="majorHAnsi" w:hAnsiTheme="majorHAnsi"/>
          <w:bCs/>
        </w:rPr>
        <w:t xml:space="preserve"> </w:t>
      </w:r>
      <w:r w:rsidRPr="00104C4F">
        <w:rPr>
          <w:rFonts w:asciiTheme="majorHAnsi" w:hAnsiTheme="majorHAnsi"/>
          <w:bCs/>
        </w:rPr>
        <w:t>example, common ar</w:t>
      </w:r>
      <w:r w:rsidR="0002592C">
        <w:rPr>
          <w:rFonts w:asciiTheme="majorHAnsi" w:hAnsiTheme="majorHAnsi"/>
          <w:bCs/>
        </w:rPr>
        <w:t>eas of multi-unit buildings—</w:t>
      </w:r>
      <w:r w:rsidRPr="00104C4F">
        <w:rPr>
          <w:rFonts w:asciiTheme="majorHAnsi" w:hAnsiTheme="majorHAnsi"/>
          <w:bCs/>
        </w:rPr>
        <w:t>or</w:t>
      </w:r>
      <w:r w:rsidR="0002592C">
        <w:rPr>
          <w:rFonts w:asciiTheme="majorHAnsi" w:hAnsiTheme="majorHAnsi"/>
          <w:bCs/>
        </w:rPr>
        <w:t xml:space="preserve"> </w:t>
      </w:r>
      <w:r w:rsidRPr="00104C4F">
        <w:rPr>
          <w:rFonts w:asciiTheme="majorHAnsi" w:hAnsiTheme="majorHAnsi"/>
          <w:bCs/>
        </w:rPr>
        <w:t>make them available to any CCA customer;</w:t>
      </w:r>
    </w:p>
    <w:p w:rsidR="00F649D2" w:rsidRPr="00104C4F" w:rsidRDefault="00F649D2" w:rsidP="00F649D2">
      <w:pPr>
        <w:pStyle w:val="ListParagraph"/>
        <w:numPr>
          <w:ilvl w:val="0"/>
          <w:numId w:val="19"/>
        </w:numPr>
        <w:spacing w:line="288" w:lineRule="auto"/>
        <w:rPr>
          <w:rFonts w:asciiTheme="majorHAnsi" w:hAnsiTheme="majorHAnsi"/>
          <w:bCs/>
        </w:rPr>
      </w:pPr>
      <w:r w:rsidRPr="00104C4F">
        <w:rPr>
          <w:rFonts w:asciiTheme="majorHAnsi" w:hAnsiTheme="majorHAnsi"/>
          <w:bCs/>
        </w:rPr>
        <w:t xml:space="preserve">Whether and how CPSF can leverage existing programs </w:t>
      </w:r>
      <w:r w:rsidR="0002592C">
        <w:rPr>
          <w:rFonts w:asciiTheme="majorHAnsi" w:hAnsiTheme="majorHAnsi"/>
          <w:bCs/>
        </w:rPr>
        <w:t xml:space="preserve">and </w:t>
      </w:r>
      <w:r w:rsidR="0002592C" w:rsidRPr="00104C4F">
        <w:rPr>
          <w:rFonts w:asciiTheme="majorHAnsi" w:hAnsiTheme="majorHAnsi"/>
          <w:bCs/>
        </w:rPr>
        <w:t>other agencies’ community connections</w:t>
      </w:r>
      <w:r w:rsidR="0002592C">
        <w:rPr>
          <w:rFonts w:asciiTheme="majorHAnsi" w:hAnsiTheme="majorHAnsi"/>
          <w:bCs/>
        </w:rPr>
        <w:t xml:space="preserve"> </w:t>
      </w:r>
      <w:r w:rsidRPr="00104C4F">
        <w:rPr>
          <w:rFonts w:asciiTheme="majorHAnsi" w:hAnsiTheme="majorHAnsi"/>
          <w:bCs/>
        </w:rPr>
        <w:t>to make efficient use of limited resources</w:t>
      </w:r>
      <w:r w:rsidR="0002592C">
        <w:rPr>
          <w:rFonts w:asciiTheme="majorHAnsi" w:hAnsiTheme="majorHAnsi"/>
          <w:bCs/>
        </w:rPr>
        <w:t>.</w:t>
      </w:r>
    </w:p>
    <w:p w:rsidR="00F649D2" w:rsidRPr="00104C4F" w:rsidRDefault="00F649D2" w:rsidP="00F649D2">
      <w:pPr>
        <w:spacing w:line="288" w:lineRule="auto"/>
        <w:rPr>
          <w:rFonts w:asciiTheme="majorHAnsi" w:hAnsiTheme="majorHAnsi"/>
          <w:bCs/>
          <w:i/>
        </w:rPr>
      </w:pPr>
    </w:p>
    <w:p w:rsidR="00F649D2" w:rsidRDefault="00A14517" w:rsidP="00F649D2">
      <w:pPr>
        <w:spacing w:line="288" w:lineRule="auto"/>
        <w:rPr>
          <w:rFonts w:asciiTheme="majorHAnsi" w:hAnsiTheme="majorHAnsi"/>
          <w:b/>
          <w:bCs/>
          <w:i/>
        </w:rPr>
      </w:pPr>
      <w:r w:rsidRPr="00A14517">
        <w:rPr>
          <w:rFonts w:asciiTheme="majorHAnsi" w:hAnsiTheme="majorHAnsi"/>
          <w:b/>
          <w:bCs/>
          <w:i/>
          <w:u w:val="single"/>
        </w:rPr>
        <w:t>STRATEGY #2:</w:t>
      </w:r>
      <w:r>
        <w:rPr>
          <w:rFonts w:asciiTheme="majorHAnsi" w:hAnsiTheme="majorHAnsi"/>
          <w:b/>
          <w:bCs/>
          <w:i/>
        </w:rPr>
        <w:t xml:space="preserve"> </w:t>
      </w:r>
      <w:r w:rsidR="00F649D2" w:rsidRPr="00104C4F">
        <w:rPr>
          <w:rFonts w:asciiTheme="majorHAnsi" w:hAnsiTheme="majorHAnsi"/>
          <w:b/>
          <w:bCs/>
          <w:i/>
        </w:rPr>
        <w:t xml:space="preserve">CPSF </w:t>
      </w:r>
      <w:r w:rsidR="00E32314">
        <w:rPr>
          <w:rFonts w:asciiTheme="majorHAnsi" w:hAnsiTheme="majorHAnsi"/>
          <w:b/>
          <w:bCs/>
          <w:i/>
        </w:rPr>
        <w:t xml:space="preserve">will coordinate with government agencies and nonprofits in order to </w:t>
      </w:r>
      <w:r w:rsidR="00F649D2" w:rsidRPr="00104C4F">
        <w:rPr>
          <w:rFonts w:asciiTheme="majorHAnsi" w:hAnsiTheme="majorHAnsi"/>
          <w:b/>
          <w:bCs/>
          <w:i/>
        </w:rPr>
        <w:t xml:space="preserve"> take advantage of existing program infrastructure in the community and leverage limited fundin</w:t>
      </w:r>
      <w:r w:rsidR="00E32314">
        <w:rPr>
          <w:rFonts w:asciiTheme="majorHAnsi" w:hAnsiTheme="majorHAnsi"/>
          <w:b/>
          <w:bCs/>
          <w:i/>
        </w:rPr>
        <w:t>g</w:t>
      </w:r>
      <w:r w:rsidR="00F649D2" w:rsidRPr="00104C4F">
        <w:rPr>
          <w:rFonts w:asciiTheme="majorHAnsi" w:hAnsiTheme="majorHAnsi"/>
          <w:b/>
          <w:bCs/>
          <w:i/>
        </w:rPr>
        <w:t xml:space="preserve">.   </w:t>
      </w:r>
    </w:p>
    <w:p w:rsidR="00A14517" w:rsidRDefault="00A14517" w:rsidP="00F649D2">
      <w:pPr>
        <w:spacing w:line="288" w:lineRule="auto"/>
        <w:rPr>
          <w:rFonts w:asciiTheme="majorHAnsi" w:hAnsiTheme="majorHAnsi"/>
          <w:b/>
          <w:bCs/>
          <w:i/>
        </w:rPr>
      </w:pPr>
    </w:p>
    <w:tbl>
      <w:tblPr>
        <w:tblStyle w:val="TableGrid"/>
        <w:tblW w:w="0" w:type="auto"/>
        <w:tblLook w:val="04A0" w:firstRow="1" w:lastRow="0" w:firstColumn="1" w:lastColumn="0" w:noHBand="0" w:noVBand="1"/>
      </w:tblPr>
      <w:tblGrid>
        <w:gridCol w:w="6768"/>
        <w:gridCol w:w="2808"/>
      </w:tblGrid>
      <w:tr w:rsidR="00A14517" w:rsidRPr="00AF3CCA" w:rsidTr="008C05CF">
        <w:tc>
          <w:tcPr>
            <w:tcW w:w="6768" w:type="dxa"/>
            <w:shd w:val="clear" w:color="auto" w:fill="9BBB59" w:themeFill="accent3"/>
            <w:vAlign w:val="center"/>
          </w:tcPr>
          <w:p w:rsidR="00A14517" w:rsidRPr="00AF3CCA" w:rsidRDefault="00A14517" w:rsidP="008C05CF">
            <w:pPr>
              <w:spacing w:line="288" w:lineRule="auto"/>
              <w:rPr>
                <w:rFonts w:asciiTheme="majorHAnsi" w:hAnsiTheme="majorHAnsi"/>
                <w:b/>
                <w:bCs/>
                <w:i/>
              </w:rPr>
            </w:pPr>
            <w:r w:rsidRPr="00AF3CCA">
              <w:rPr>
                <w:rFonts w:asciiTheme="majorHAnsi" w:hAnsiTheme="majorHAnsi"/>
                <w:b/>
                <w:bCs/>
                <w:i/>
              </w:rPr>
              <w:t>Work Task</w:t>
            </w:r>
          </w:p>
        </w:tc>
        <w:tc>
          <w:tcPr>
            <w:tcW w:w="2808" w:type="dxa"/>
            <w:shd w:val="clear" w:color="auto" w:fill="9BBB59" w:themeFill="accent3"/>
            <w:vAlign w:val="center"/>
          </w:tcPr>
          <w:p w:rsidR="00A14517" w:rsidRPr="00AF3CCA" w:rsidRDefault="00A14517" w:rsidP="008C05CF">
            <w:pPr>
              <w:spacing w:line="288" w:lineRule="auto"/>
              <w:rPr>
                <w:rFonts w:asciiTheme="majorHAnsi" w:hAnsiTheme="majorHAnsi"/>
                <w:b/>
                <w:bCs/>
                <w:i/>
              </w:rPr>
            </w:pPr>
            <w:r w:rsidRPr="00AF3CCA">
              <w:rPr>
                <w:rFonts w:asciiTheme="majorHAnsi" w:hAnsiTheme="majorHAnsi"/>
                <w:b/>
                <w:bCs/>
                <w:i/>
              </w:rPr>
              <w:t>Timing</w:t>
            </w:r>
          </w:p>
        </w:tc>
      </w:tr>
      <w:tr w:rsidR="00A14517" w:rsidRPr="00AF3CCA" w:rsidTr="008C05CF">
        <w:tc>
          <w:tcPr>
            <w:tcW w:w="6768" w:type="dxa"/>
            <w:vAlign w:val="center"/>
          </w:tcPr>
          <w:p w:rsidR="00A14517" w:rsidRPr="00AF3CCA" w:rsidRDefault="00A14517" w:rsidP="008C05CF">
            <w:pPr>
              <w:spacing w:line="288" w:lineRule="auto"/>
              <w:rPr>
                <w:rFonts w:asciiTheme="majorHAnsi" w:hAnsiTheme="majorHAnsi"/>
                <w:bCs/>
              </w:rPr>
            </w:pPr>
            <w:r w:rsidRPr="00104C4F">
              <w:rPr>
                <w:rFonts w:asciiTheme="majorHAnsi" w:hAnsiTheme="majorHAnsi"/>
                <w:bCs/>
              </w:rPr>
              <w:t xml:space="preserve">Work with </w:t>
            </w:r>
            <w:r>
              <w:rPr>
                <w:rFonts w:asciiTheme="majorHAnsi" w:hAnsiTheme="majorHAnsi"/>
                <w:bCs/>
              </w:rPr>
              <w:t>SFE</w:t>
            </w:r>
            <w:r w:rsidRPr="00104C4F">
              <w:rPr>
                <w:rFonts w:asciiTheme="majorHAnsi" w:hAnsiTheme="majorHAnsi"/>
                <w:bCs/>
              </w:rPr>
              <w:t xml:space="preserve"> and community-based nonprofit organizations to leverage their connections in the community, funding and expertise</w:t>
            </w:r>
          </w:p>
        </w:tc>
        <w:tc>
          <w:tcPr>
            <w:tcW w:w="2808" w:type="dxa"/>
            <w:vAlign w:val="center"/>
          </w:tcPr>
          <w:p w:rsidR="00A14517" w:rsidRPr="00F649D2" w:rsidRDefault="00A14517" w:rsidP="008C05CF">
            <w:pPr>
              <w:spacing w:line="288" w:lineRule="auto"/>
              <w:rPr>
                <w:rFonts w:asciiTheme="majorHAnsi" w:hAnsiTheme="majorHAnsi"/>
                <w:bCs/>
              </w:rPr>
            </w:pPr>
            <w:r>
              <w:rPr>
                <w:rFonts w:asciiTheme="majorHAnsi" w:hAnsiTheme="majorHAnsi"/>
                <w:bCs/>
              </w:rPr>
              <w:t>Ongoing</w:t>
            </w:r>
          </w:p>
        </w:tc>
      </w:tr>
      <w:tr w:rsidR="00A14517" w:rsidRPr="00AF3CCA" w:rsidTr="008C05CF">
        <w:tc>
          <w:tcPr>
            <w:tcW w:w="6768" w:type="dxa"/>
            <w:vAlign w:val="center"/>
          </w:tcPr>
          <w:p w:rsidR="00A14517" w:rsidRPr="00AF3CCA" w:rsidRDefault="00A14517" w:rsidP="008C05CF">
            <w:pPr>
              <w:spacing w:line="288" w:lineRule="auto"/>
              <w:rPr>
                <w:rFonts w:asciiTheme="majorHAnsi" w:hAnsiTheme="majorHAnsi"/>
                <w:bCs/>
              </w:rPr>
            </w:pPr>
            <w:r w:rsidRPr="00104C4F">
              <w:rPr>
                <w:rFonts w:asciiTheme="majorHAnsi" w:hAnsiTheme="majorHAnsi"/>
                <w:bCs/>
              </w:rPr>
              <w:t xml:space="preserve">Coordinate with SFPUC’s outreach staff to </w:t>
            </w:r>
            <w:r>
              <w:rPr>
                <w:rFonts w:asciiTheme="majorHAnsi" w:hAnsiTheme="majorHAnsi"/>
                <w:bCs/>
              </w:rPr>
              <w:t>en</w:t>
            </w:r>
            <w:r w:rsidRPr="00104C4F">
              <w:rPr>
                <w:rFonts w:asciiTheme="majorHAnsi" w:hAnsiTheme="majorHAnsi"/>
                <w:bCs/>
              </w:rPr>
              <w:t>sure CPSF marketing and “opt-out” materials provide information about energy efficiency opportunities available to CPSF customers</w:t>
            </w:r>
          </w:p>
        </w:tc>
        <w:tc>
          <w:tcPr>
            <w:tcW w:w="2808" w:type="dxa"/>
            <w:vAlign w:val="center"/>
          </w:tcPr>
          <w:p w:rsidR="00A14517" w:rsidRPr="00AF3CCA" w:rsidRDefault="00A14517" w:rsidP="008C05CF">
            <w:pPr>
              <w:spacing w:line="288" w:lineRule="auto"/>
              <w:rPr>
                <w:rFonts w:asciiTheme="majorHAnsi" w:hAnsiTheme="majorHAnsi"/>
                <w:bCs/>
              </w:rPr>
            </w:pPr>
            <w:r>
              <w:rPr>
                <w:rFonts w:asciiTheme="majorHAnsi" w:hAnsiTheme="majorHAnsi"/>
                <w:bCs/>
              </w:rPr>
              <w:t>Ongoing</w:t>
            </w:r>
          </w:p>
        </w:tc>
      </w:tr>
      <w:tr w:rsidR="00A14517" w:rsidRPr="00AF3CCA" w:rsidTr="008C05CF">
        <w:tc>
          <w:tcPr>
            <w:tcW w:w="6768" w:type="dxa"/>
            <w:vAlign w:val="center"/>
          </w:tcPr>
          <w:p w:rsidR="00A14517" w:rsidRPr="00104C4F" w:rsidRDefault="00A14517" w:rsidP="008C05CF">
            <w:pPr>
              <w:spacing w:line="288" w:lineRule="auto"/>
              <w:rPr>
                <w:rFonts w:asciiTheme="majorHAnsi" w:hAnsiTheme="majorHAnsi"/>
                <w:bCs/>
              </w:rPr>
            </w:pPr>
            <w:r w:rsidRPr="00104C4F">
              <w:rPr>
                <w:rFonts w:asciiTheme="majorHAnsi" w:hAnsiTheme="majorHAnsi"/>
                <w:bCs/>
              </w:rPr>
              <w:t>Coordinate with GoSolarSF regarding installations of solar and energy efficiency improvements on identified properties</w:t>
            </w:r>
          </w:p>
        </w:tc>
        <w:tc>
          <w:tcPr>
            <w:tcW w:w="2808" w:type="dxa"/>
            <w:vAlign w:val="center"/>
          </w:tcPr>
          <w:p w:rsidR="00A14517" w:rsidDel="00AF3CCA" w:rsidRDefault="00A14517" w:rsidP="008C05CF">
            <w:pPr>
              <w:spacing w:line="288" w:lineRule="auto"/>
              <w:rPr>
                <w:rFonts w:asciiTheme="majorHAnsi" w:hAnsiTheme="majorHAnsi"/>
                <w:bCs/>
              </w:rPr>
            </w:pPr>
            <w:r>
              <w:rPr>
                <w:rFonts w:asciiTheme="majorHAnsi" w:hAnsiTheme="majorHAnsi"/>
                <w:bCs/>
              </w:rPr>
              <w:t>Ongoing; p</w:t>
            </w:r>
            <w:r w:rsidRPr="00104C4F">
              <w:rPr>
                <w:rFonts w:asciiTheme="majorHAnsi" w:hAnsiTheme="majorHAnsi"/>
                <w:bCs/>
              </w:rPr>
              <w:t>roject work beginning at launch</w:t>
            </w:r>
          </w:p>
        </w:tc>
      </w:tr>
    </w:tbl>
    <w:p w:rsidR="00F649D2" w:rsidRPr="00104C4F" w:rsidRDefault="00F649D2" w:rsidP="00F649D2">
      <w:pPr>
        <w:spacing w:line="288" w:lineRule="auto"/>
        <w:rPr>
          <w:rFonts w:asciiTheme="majorHAnsi" w:hAnsiTheme="majorHAnsi"/>
          <w:bCs/>
        </w:rPr>
      </w:pPr>
    </w:p>
    <w:p w:rsidR="00F649D2" w:rsidRDefault="00F649D2" w:rsidP="00F649D2">
      <w:pPr>
        <w:spacing w:line="288" w:lineRule="auto"/>
        <w:rPr>
          <w:rFonts w:asciiTheme="majorHAnsi" w:hAnsiTheme="majorHAnsi"/>
          <w:b/>
          <w:bCs/>
          <w:i/>
        </w:rPr>
      </w:pPr>
      <w:r w:rsidRPr="00BF7139">
        <w:rPr>
          <w:rFonts w:asciiTheme="majorHAnsi" w:hAnsiTheme="majorHAnsi"/>
          <w:b/>
          <w:bCs/>
          <w:i/>
          <w:u w:val="single"/>
        </w:rPr>
        <w:t>STRATEGY #3:</w:t>
      </w:r>
      <w:r w:rsidRPr="00104C4F">
        <w:rPr>
          <w:rFonts w:asciiTheme="majorHAnsi" w:hAnsiTheme="majorHAnsi"/>
          <w:bCs/>
        </w:rPr>
        <w:t xml:space="preserve"> </w:t>
      </w:r>
      <w:r w:rsidRPr="00104C4F">
        <w:rPr>
          <w:rFonts w:asciiTheme="majorHAnsi" w:hAnsiTheme="majorHAnsi"/>
          <w:b/>
          <w:bCs/>
          <w:i/>
        </w:rPr>
        <w:t xml:space="preserve">CPSF </w:t>
      </w:r>
      <w:r w:rsidR="00E32314">
        <w:rPr>
          <w:rFonts w:asciiTheme="majorHAnsi" w:hAnsiTheme="majorHAnsi"/>
          <w:b/>
          <w:bCs/>
          <w:i/>
        </w:rPr>
        <w:t>will</w:t>
      </w:r>
      <w:r w:rsidR="00073EA4">
        <w:rPr>
          <w:rFonts w:asciiTheme="majorHAnsi" w:hAnsiTheme="majorHAnsi"/>
          <w:b/>
          <w:bCs/>
          <w:i/>
        </w:rPr>
        <w:t xml:space="preserve"> </w:t>
      </w:r>
      <w:r w:rsidRPr="00104C4F">
        <w:rPr>
          <w:rFonts w:asciiTheme="majorHAnsi" w:hAnsiTheme="majorHAnsi"/>
          <w:b/>
          <w:bCs/>
          <w:i/>
        </w:rPr>
        <w:t>dedicate its residential energy efficiency funds to CPSF</w:t>
      </w:r>
      <w:r w:rsidR="00B63778">
        <w:rPr>
          <w:rFonts w:asciiTheme="majorHAnsi" w:hAnsiTheme="majorHAnsi"/>
          <w:b/>
          <w:bCs/>
          <w:i/>
        </w:rPr>
        <w:t xml:space="preserve"> </w:t>
      </w:r>
      <w:r w:rsidRPr="00104C4F">
        <w:rPr>
          <w:rFonts w:asciiTheme="majorHAnsi" w:hAnsiTheme="majorHAnsi"/>
          <w:b/>
          <w:bCs/>
          <w:i/>
        </w:rPr>
        <w:t xml:space="preserve">customers.  The funds </w:t>
      </w:r>
      <w:r w:rsidR="00E32314">
        <w:rPr>
          <w:rFonts w:asciiTheme="majorHAnsi" w:hAnsiTheme="majorHAnsi"/>
          <w:b/>
          <w:bCs/>
          <w:i/>
        </w:rPr>
        <w:t>w</w:t>
      </w:r>
      <w:r w:rsidRPr="00104C4F">
        <w:rPr>
          <w:rFonts w:asciiTheme="majorHAnsi" w:hAnsiTheme="majorHAnsi"/>
          <w:b/>
          <w:bCs/>
          <w:i/>
        </w:rPr>
        <w:t xml:space="preserve">ould be used to support </w:t>
      </w:r>
      <w:r w:rsidR="00E32314">
        <w:rPr>
          <w:rFonts w:asciiTheme="majorHAnsi" w:hAnsiTheme="majorHAnsi"/>
          <w:b/>
          <w:bCs/>
          <w:i/>
        </w:rPr>
        <w:t xml:space="preserve">projects that create </w:t>
      </w:r>
      <w:r w:rsidRPr="00104C4F">
        <w:rPr>
          <w:rFonts w:asciiTheme="majorHAnsi" w:hAnsiTheme="majorHAnsi"/>
          <w:b/>
          <w:bCs/>
          <w:i/>
        </w:rPr>
        <w:t xml:space="preserve">electricity savings but </w:t>
      </w:r>
      <w:r w:rsidR="00E32314">
        <w:rPr>
          <w:rFonts w:asciiTheme="majorHAnsi" w:hAnsiTheme="majorHAnsi"/>
          <w:b/>
          <w:bCs/>
          <w:i/>
        </w:rPr>
        <w:t>w</w:t>
      </w:r>
      <w:r w:rsidRPr="00104C4F">
        <w:rPr>
          <w:rFonts w:asciiTheme="majorHAnsi" w:hAnsiTheme="majorHAnsi"/>
          <w:b/>
          <w:bCs/>
          <w:i/>
        </w:rPr>
        <w:t xml:space="preserve">ould be leveraged </w:t>
      </w:r>
      <w:r w:rsidR="00B63778">
        <w:rPr>
          <w:rFonts w:asciiTheme="majorHAnsi" w:hAnsiTheme="majorHAnsi"/>
          <w:b/>
          <w:bCs/>
          <w:i/>
        </w:rPr>
        <w:t>through</w:t>
      </w:r>
      <w:r w:rsidRPr="00104C4F">
        <w:rPr>
          <w:rFonts w:asciiTheme="majorHAnsi" w:hAnsiTheme="majorHAnsi"/>
          <w:b/>
          <w:bCs/>
          <w:i/>
        </w:rPr>
        <w:t xml:space="preserve"> partnerships with existing programs that perform home improvements </w:t>
      </w:r>
      <w:r w:rsidR="00B63778">
        <w:rPr>
          <w:rFonts w:asciiTheme="majorHAnsi" w:hAnsiTheme="majorHAnsi"/>
          <w:b/>
          <w:bCs/>
          <w:i/>
        </w:rPr>
        <w:t>o</w:t>
      </w:r>
      <w:r w:rsidRPr="00104C4F">
        <w:rPr>
          <w:rFonts w:asciiTheme="majorHAnsi" w:hAnsiTheme="majorHAnsi"/>
          <w:b/>
          <w:bCs/>
          <w:i/>
        </w:rPr>
        <w:t xml:space="preserve">n low income properties. </w:t>
      </w:r>
      <w:r w:rsidR="00B63778">
        <w:rPr>
          <w:rFonts w:asciiTheme="majorHAnsi" w:hAnsiTheme="majorHAnsi"/>
          <w:b/>
          <w:bCs/>
          <w:i/>
        </w:rPr>
        <w:t xml:space="preserve">Prospective projects </w:t>
      </w:r>
      <w:r w:rsidR="00E32314">
        <w:rPr>
          <w:rFonts w:asciiTheme="majorHAnsi" w:hAnsiTheme="majorHAnsi"/>
          <w:b/>
          <w:bCs/>
          <w:i/>
        </w:rPr>
        <w:t>will</w:t>
      </w:r>
      <w:r w:rsidR="00B63778">
        <w:rPr>
          <w:rFonts w:asciiTheme="majorHAnsi" w:hAnsiTheme="majorHAnsi"/>
          <w:b/>
          <w:bCs/>
          <w:i/>
        </w:rPr>
        <w:t xml:space="preserve"> be prioritized</w:t>
      </w:r>
      <w:r w:rsidRPr="00104C4F">
        <w:rPr>
          <w:rFonts w:asciiTheme="majorHAnsi" w:hAnsiTheme="majorHAnsi"/>
          <w:b/>
          <w:bCs/>
          <w:i/>
        </w:rPr>
        <w:t xml:space="preserve"> on the basis of </w:t>
      </w:r>
      <w:r w:rsidR="00E32314">
        <w:rPr>
          <w:rFonts w:asciiTheme="majorHAnsi" w:hAnsiTheme="majorHAnsi"/>
          <w:b/>
          <w:bCs/>
          <w:i/>
        </w:rPr>
        <w:t xml:space="preserve">cost-effectiveness and may </w:t>
      </w:r>
      <w:r w:rsidRPr="00104C4F">
        <w:rPr>
          <w:rFonts w:asciiTheme="majorHAnsi" w:hAnsiTheme="majorHAnsi"/>
          <w:b/>
          <w:bCs/>
          <w:i/>
        </w:rPr>
        <w:t>include improvements to common areas and common facilities.</w:t>
      </w:r>
    </w:p>
    <w:p w:rsidR="00B63778" w:rsidRDefault="00B63778" w:rsidP="00F649D2">
      <w:pPr>
        <w:spacing w:line="288" w:lineRule="auto"/>
        <w:rPr>
          <w:rFonts w:asciiTheme="majorHAnsi" w:hAnsiTheme="majorHAnsi"/>
          <w:b/>
          <w:bCs/>
          <w:i/>
        </w:rPr>
      </w:pPr>
    </w:p>
    <w:tbl>
      <w:tblPr>
        <w:tblStyle w:val="TableGrid"/>
        <w:tblW w:w="0" w:type="auto"/>
        <w:tblLook w:val="04A0" w:firstRow="1" w:lastRow="0" w:firstColumn="1" w:lastColumn="0" w:noHBand="0" w:noVBand="1"/>
      </w:tblPr>
      <w:tblGrid>
        <w:gridCol w:w="6768"/>
        <w:gridCol w:w="2808"/>
      </w:tblGrid>
      <w:tr w:rsidR="00B63778" w:rsidRPr="00AF3CCA" w:rsidTr="00FF6447">
        <w:tc>
          <w:tcPr>
            <w:tcW w:w="6768" w:type="dxa"/>
            <w:shd w:val="clear" w:color="auto" w:fill="9BBB59" w:themeFill="accent3"/>
            <w:vAlign w:val="center"/>
          </w:tcPr>
          <w:p w:rsidR="00B63778" w:rsidRPr="00AF3CCA" w:rsidRDefault="00B63778" w:rsidP="00FF6447">
            <w:pPr>
              <w:spacing w:line="288" w:lineRule="auto"/>
              <w:rPr>
                <w:rFonts w:asciiTheme="majorHAnsi" w:hAnsiTheme="majorHAnsi"/>
                <w:b/>
                <w:bCs/>
                <w:i/>
              </w:rPr>
            </w:pPr>
            <w:r w:rsidRPr="00AF3CCA">
              <w:rPr>
                <w:rFonts w:asciiTheme="majorHAnsi" w:hAnsiTheme="majorHAnsi"/>
                <w:b/>
                <w:bCs/>
                <w:i/>
              </w:rPr>
              <w:t>Work Task</w:t>
            </w:r>
          </w:p>
        </w:tc>
        <w:tc>
          <w:tcPr>
            <w:tcW w:w="2808" w:type="dxa"/>
            <w:shd w:val="clear" w:color="auto" w:fill="9BBB59" w:themeFill="accent3"/>
            <w:vAlign w:val="center"/>
          </w:tcPr>
          <w:p w:rsidR="00B63778" w:rsidRPr="00AF3CCA" w:rsidRDefault="00B63778" w:rsidP="00FF6447">
            <w:pPr>
              <w:spacing w:line="288" w:lineRule="auto"/>
              <w:rPr>
                <w:rFonts w:asciiTheme="majorHAnsi" w:hAnsiTheme="majorHAnsi"/>
                <w:b/>
                <w:bCs/>
                <w:i/>
              </w:rPr>
            </w:pPr>
            <w:r w:rsidRPr="00AF3CCA">
              <w:rPr>
                <w:rFonts w:asciiTheme="majorHAnsi" w:hAnsiTheme="majorHAnsi"/>
                <w:b/>
                <w:bCs/>
                <w:i/>
              </w:rPr>
              <w:t>Timing</w:t>
            </w:r>
          </w:p>
        </w:tc>
      </w:tr>
      <w:tr w:rsidR="00B63778" w:rsidRPr="00AF3CCA" w:rsidTr="00FF6447">
        <w:tc>
          <w:tcPr>
            <w:tcW w:w="6768" w:type="dxa"/>
            <w:vAlign w:val="center"/>
          </w:tcPr>
          <w:p w:rsidR="00B63778" w:rsidRPr="00AF3CCA" w:rsidRDefault="00B63778" w:rsidP="00E32314">
            <w:pPr>
              <w:spacing w:line="288" w:lineRule="auto"/>
              <w:rPr>
                <w:rFonts w:asciiTheme="majorHAnsi" w:hAnsiTheme="majorHAnsi"/>
                <w:bCs/>
              </w:rPr>
            </w:pPr>
            <w:r w:rsidRPr="00104C4F">
              <w:rPr>
                <w:rFonts w:asciiTheme="majorHAnsi" w:hAnsiTheme="majorHAnsi"/>
                <w:bCs/>
              </w:rPr>
              <w:t xml:space="preserve">Identify </w:t>
            </w:r>
            <w:r>
              <w:rPr>
                <w:rFonts w:asciiTheme="majorHAnsi" w:hAnsiTheme="majorHAnsi"/>
                <w:bCs/>
              </w:rPr>
              <w:t xml:space="preserve">potential </w:t>
            </w:r>
            <w:r w:rsidRPr="00104C4F">
              <w:rPr>
                <w:rFonts w:asciiTheme="majorHAnsi" w:hAnsiTheme="majorHAnsi"/>
                <w:bCs/>
              </w:rPr>
              <w:t xml:space="preserve">low income programs and properties </w:t>
            </w:r>
            <w:r w:rsidR="00E32314">
              <w:rPr>
                <w:rFonts w:asciiTheme="majorHAnsi" w:hAnsiTheme="majorHAnsi"/>
                <w:bCs/>
              </w:rPr>
              <w:t>for leveraging initial allocation</w:t>
            </w:r>
          </w:p>
        </w:tc>
        <w:tc>
          <w:tcPr>
            <w:tcW w:w="2808" w:type="dxa"/>
            <w:vAlign w:val="center"/>
          </w:tcPr>
          <w:p w:rsidR="00B63778" w:rsidRPr="00F649D2" w:rsidRDefault="00B63778" w:rsidP="00FF6447">
            <w:pPr>
              <w:spacing w:line="288" w:lineRule="auto"/>
              <w:rPr>
                <w:rFonts w:asciiTheme="majorHAnsi" w:hAnsiTheme="majorHAnsi"/>
                <w:bCs/>
              </w:rPr>
            </w:pPr>
            <w:r>
              <w:rPr>
                <w:rFonts w:asciiTheme="majorHAnsi" w:hAnsiTheme="majorHAnsi"/>
                <w:bCs/>
              </w:rPr>
              <w:t>Immediately after approval of not-to-exceed rates</w:t>
            </w:r>
          </w:p>
        </w:tc>
      </w:tr>
      <w:tr w:rsidR="00B63778" w:rsidRPr="00AF3CCA" w:rsidTr="00FF6447">
        <w:tc>
          <w:tcPr>
            <w:tcW w:w="6768" w:type="dxa"/>
            <w:vAlign w:val="center"/>
          </w:tcPr>
          <w:p w:rsidR="00B63778" w:rsidRPr="00AF3CCA" w:rsidRDefault="00B63778" w:rsidP="00FF6447">
            <w:pPr>
              <w:spacing w:line="288" w:lineRule="auto"/>
              <w:rPr>
                <w:rFonts w:asciiTheme="majorHAnsi" w:hAnsiTheme="majorHAnsi"/>
                <w:bCs/>
              </w:rPr>
            </w:pPr>
            <w:r w:rsidRPr="00104C4F">
              <w:rPr>
                <w:rFonts w:asciiTheme="majorHAnsi" w:hAnsiTheme="majorHAnsi"/>
                <w:bCs/>
              </w:rPr>
              <w:t xml:space="preserve">Assess whether and when </w:t>
            </w:r>
            <w:r>
              <w:rPr>
                <w:rFonts w:asciiTheme="majorHAnsi" w:hAnsiTheme="majorHAnsi"/>
                <w:bCs/>
              </w:rPr>
              <w:t>CPSF</w:t>
            </w:r>
            <w:r w:rsidRPr="00104C4F">
              <w:rPr>
                <w:rFonts w:asciiTheme="majorHAnsi" w:hAnsiTheme="majorHAnsi"/>
                <w:bCs/>
              </w:rPr>
              <w:t xml:space="preserve"> will have resources for other energy efficiency programs and projects, and establish priorities for use of funds</w:t>
            </w:r>
          </w:p>
        </w:tc>
        <w:tc>
          <w:tcPr>
            <w:tcW w:w="2808" w:type="dxa"/>
            <w:vAlign w:val="center"/>
          </w:tcPr>
          <w:p w:rsidR="00B63778" w:rsidRPr="00AF3CCA" w:rsidRDefault="00B63778" w:rsidP="00FF6447">
            <w:pPr>
              <w:spacing w:line="288" w:lineRule="auto"/>
              <w:rPr>
                <w:rFonts w:asciiTheme="majorHAnsi" w:hAnsiTheme="majorHAnsi"/>
                <w:bCs/>
              </w:rPr>
            </w:pPr>
            <w:r>
              <w:rPr>
                <w:rFonts w:asciiTheme="majorHAnsi" w:hAnsiTheme="majorHAnsi"/>
                <w:bCs/>
              </w:rPr>
              <w:t>Year 1</w:t>
            </w:r>
            <w:r w:rsidRPr="00104C4F">
              <w:rPr>
                <w:rFonts w:asciiTheme="majorHAnsi" w:hAnsiTheme="majorHAnsi"/>
                <w:bCs/>
              </w:rPr>
              <w:t xml:space="preserve"> and </w:t>
            </w:r>
            <w:r w:rsidR="00FA26C0">
              <w:rPr>
                <w:rFonts w:asciiTheme="majorHAnsi" w:hAnsiTheme="majorHAnsi"/>
                <w:bCs/>
              </w:rPr>
              <w:t>continuing</w:t>
            </w:r>
          </w:p>
        </w:tc>
      </w:tr>
      <w:tr w:rsidR="00B63778" w:rsidRPr="00AF3CCA" w:rsidTr="00FF6447">
        <w:tc>
          <w:tcPr>
            <w:tcW w:w="6768" w:type="dxa"/>
            <w:vAlign w:val="center"/>
          </w:tcPr>
          <w:p w:rsidR="00B63778" w:rsidRPr="00104C4F" w:rsidRDefault="00B63778" w:rsidP="00FF6447">
            <w:pPr>
              <w:spacing w:line="288" w:lineRule="auto"/>
              <w:rPr>
                <w:rFonts w:asciiTheme="majorHAnsi" w:hAnsiTheme="majorHAnsi"/>
                <w:bCs/>
              </w:rPr>
            </w:pPr>
            <w:r w:rsidRPr="00104C4F">
              <w:rPr>
                <w:rFonts w:asciiTheme="majorHAnsi" w:hAnsiTheme="majorHAnsi"/>
                <w:bCs/>
              </w:rPr>
              <w:t xml:space="preserve">Apply to </w:t>
            </w:r>
            <w:r w:rsidR="0084335D">
              <w:rPr>
                <w:rFonts w:asciiTheme="majorHAnsi" w:hAnsiTheme="majorHAnsi"/>
                <w:bCs/>
              </w:rPr>
              <w:t xml:space="preserve">the </w:t>
            </w:r>
            <w:r w:rsidRPr="00104C4F">
              <w:rPr>
                <w:rFonts w:asciiTheme="majorHAnsi" w:hAnsiTheme="majorHAnsi"/>
                <w:bCs/>
              </w:rPr>
              <w:t>CPUC for CCA allocation of energy efficiency funds</w:t>
            </w:r>
            <w:r w:rsidR="0084335D">
              <w:rPr>
                <w:rFonts w:asciiTheme="majorHAnsi" w:hAnsiTheme="majorHAnsi"/>
                <w:bCs/>
              </w:rPr>
              <w:t xml:space="preserve"> to administer new programs</w:t>
            </w:r>
          </w:p>
        </w:tc>
        <w:tc>
          <w:tcPr>
            <w:tcW w:w="2808" w:type="dxa"/>
            <w:vAlign w:val="center"/>
          </w:tcPr>
          <w:p w:rsidR="00B63778" w:rsidDel="00AF3CCA" w:rsidRDefault="0084335D" w:rsidP="00FF6447">
            <w:pPr>
              <w:spacing w:line="288" w:lineRule="auto"/>
              <w:rPr>
                <w:rFonts w:asciiTheme="majorHAnsi" w:hAnsiTheme="majorHAnsi"/>
                <w:bCs/>
              </w:rPr>
            </w:pPr>
            <w:r>
              <w:rPr>
                <w:rFonts w:asciiTheme="majorHAnsi" w:hAnsiTheme="majorHAnsi"/>
                <w:bCs/>
              </w:rPr>
              <w:t>Year 1</w:t>
            </w:r>
          </w:p>
        </w:tc>
      </w:tr>
    </w:tbl>
    <w:p w:rsidR="00F649D2" w:rsidRPr="00104C4F" w:rsidRDefault="00F649D2" w:rsidP="00F649D2">
      <w:pPr>
        <w:spacing w:line="288" w:lineRule="auto"/>
        <w:rPr>
          <w:rFonts w:asciiTheme="majorHAnsi" w:hAnsiTheme="majorHAnsi"/>
          <w:b/>
          <w:bCs/>
          <w:i/>
        </w:rPr>
      </w:pPr>
    </w:p>
    <w:p w:rsidR="0084335D" w:rsidRDefault="0084335D" w:rsidP="00F649D2">
      <w:pPr>
        <w:spacing w:line="288" w:lineRule="auto"/>
        <w:rPr>
          <w:rFonts w:asciiTheme="majorHAnsi" w:hAnsiTheme="majorHAnsi"/>
          <w:b/>
          <w:bCs/>
          <w:iCs/>
          <w:u w:val="single"/>
        </w:rPr>
      </w:pPr>
    </w:p>
    <w:p w:rsidR="0084335D" w:rsidRDefault="0084335D" w:rsidP="00FF6447">
      <w:pPr>
        <w:spacing w:line="288" w:lineRule="auto"/>
        <w:ind w:firstLine="720"/>
        <w:rPr>
          <w:rFonts w:asciiTheme="majorHAnsi" w:hAnsiTheme="majorHAnsi"/>
        </w:rPr>
      </w:pPr>
      <w:r w:rsidRPr="00BF7139">
        <w:rPr>
          <w:rFonts w:asciiTheme="majorHAnsi" w:hAnsiTheme="majorHAnsi"/>
          <w:b/>
          <w:bCs/>
          <w:iCs/>
          <w:u w:val="single"/>
        </w:rPr>
        <w:t>COMMERCIAL AND INDUSTRIAL CUSTOMER PROGRAMS</w:t>
      </w:r>
      <w:r w:rsidR="00F649D2" w:rsidRPr="00104C4F">
        <w:rPr>
          <w:rFonts w:asciiTheme="majorHAnsi" w:hAnsiTheme="majorHAnsi"/>
        </w:rPr>
        <w:t xml:space="preserve">  </w:t>
      </w:r>
    </w:p>
    <w:p w:rsidR="00F649D2" w:rsidRPr="00104C4F" w:rsidRDefault="00F649D2" w:rsidP="00F649D2">
      <w:pPr>
        <w:spacing w:line="288" w:lineRule="auto"/>
        <w:rPr>
          <w:rFonts w:asciiTheme="majorHAnsi" w:hAnsiTheme="majorHAnsi"/>
        </w:rPr>
      </w:pPr>
      <w:r w:rsidRPr="00104C4F">
        <w:rPr>
          <w:rFonts w:asciiTheme="majorHAnsi" w:hAnsiTheme="majorHAnsi"/>
        </w:rPr>
        <w:t xml:space="preserve">CPSF does not plan to include commercial or industrial customers in the initial opt-out process.  Commercial and industrial customers may, however, proactively request to participate in CPSF. Unlike the funds for residential energy efficiency programs, CPSF may not immediately have funding to support commercial or industrial energy efficiency. Future funding may be obtained from customer electricity sales or bond revenues, or requested from the CPUC to administer new energy efficiency programs.   </w:t>
      </w:r>
    </w:p>
    <w:p w:rsidR="00F649D2" w:rsidRPr="00104C4F" w:rsidRDefault="00F649D2" w:rsidP="00F649D2">
      <w:pPr>
        <w:spacing w:line="288" w:lineRule="auto"/>
        <w:rPr>
          <w:rFonts w:asciiTheme="majorHAnsi" w:hAnsiTheme="majorHAnsi"/>
        </w:rPr>
      </w:pPr>
    </w:p>
    <w:p w:rsidR="00F649D2" w:rsidRPr="00104C4F" w:rsidRDefault="00F649D2" w:rsidP="00F649D2">
      <w:pPr>
        <w:spacing w:line="288" w:lineRule="auto"/>
        <w:rPr>
          <w:rFonts w:asciiTheme="majorHAnsi" w:hAnsiTheme="majorHAnsi"/>
        </w:rPr>
      </w:pPr>
      <w:r w:rsidRPr="00104C4F">
        <w:rPr>
          <w:rFonts w:asciiTheme="majorHAnsi" w:hAnsiTheme="majorHAnsi"/>
        </w:rPr>
        <w:t xml:space="preserve">However, PG&amp;E, SFE and other government agencies currently offer a variety of programs to promote commercial customer investments in energy efficiency. These programs address a range of solutions, including process improvements (such as ways to reduce energy use in manufacturing or replace inefficient equipment), upgrading facilities (like HVAC systems, boilers and lighting), and utilizing systems controls (light sensors or timed HVAC cycling). </w:t>
      </w:r>
    </w:p>
    <w:p w:rsidR="00F649D2" w:rsidRPr="00104C4F" w:rsidRDefault="00F649D2" w:rsidP="00F649D2">
      <w:pPr>
        <w:spacing w:line="288" w:lineRule="auto"/>
        <w:rPr>
          <w:rFonts w:asciiTheme="majorHAnsi" w:hAnsiTheme="majorHAnsi"/>
        </w:rPr>
      </w:pPr>
    </w:p>
    <w:p w:rsidR="00F649D2" w:rsidRDefault="00F649D2" w:rsidP="00F649D2">
      <w:pPr>
        <w:spacing w:line="288" w:lineRule="auto"/>
        <w:rPr>
          <w:rFonts w:asciiTheme="majorHAnsi" w:hAnsiTheme="majorHAnsi"/>
        </w:rPr>
      </w:pPr>
      <w:r w:rsidRPr="00104C4F">
        <w:rPr>
          <w:rFonts w:asciiTheme="majorHAnsi" w:hAnsiTheme="majorHAnsi"/>
        </w:rPr>
        <w:t xml:space="preserve">Small- to medium-sized commercial customers are most likely to request participation in CPSF. These customer classes include but are not limited to restaurants, green businesses, retail stores, and professional service firms. At the outset, CPSF will coordinate its efforts with SFE, nonprofits, and other government agencies to facilitate and maximize participation in existing energy efficiency programs for commercial customers. Over time, as experience is developed and additional funding opportunities are identified, CPSF will seek to form its own programs and expand energy efficiency services to larger commercial and industrial customers. </w:t>
      </w:r>
    </w:p>
    <w:p w:rsidR="0084335D" w:rsidRPr="00104C4F" w:rsidRDefault="0084335D" w:rsidP="00F649D2">
      <w:pPr>
        <w:spacing w:line="288" w:lineRule="auto"/>
        <w:rPr>
          <w:rFonts w:asciiTheme="majorHAnsi" w:hAnsiTheme="majorHAnsi"/>
        </w:rPr>
      </w:pPr>
    </w:p>
    <w:p w:rsidR="00F649D2" w:rsidRPr="00104C4F" w:rsidRDefault="0084335D" w:rsidP="00F649D2">
      <w:pPr>
        <w:spacing w:line="288" w:lineRule="auto"/>
        <w:rPr>
          <w:rFonts w:asciiTheme="majorHAnsi" w:hAnsiTheme="majorHAnsi"/>
          <w:b/>
          <w:i/>
        </w:rPr>
      </w:pPr>
      <w:r>
        <w:rPr>
          <w:rFonts w:asciiTheme="majorHAnsi" w:hAnsiTheme="majorHAnsi"/>
          <w:b/>
          <w:i/>
        </w:rPr>
        <w:t>Potential Concerns:</w:t>
      </w:r>
    </w:p>
    <w:p w:rsidR="00F649D2" w:rsidRPr="00104C4F" w:rsidRDefault="00F649D2" w:rsidP="00F649D2">
      <w:pPr>
        <w:pStyle w:val="ListParagraph"/>
        <w:numPr>
          <w:ilvl w:val="0"/>
          <w:numId w:val="18"/>
        </w:numPr>
        <w:spacing w:line="288" w:lineRule="auto"/>
        <w:rPr>
          <w:rFonts w:asciiTheme="majorHAnsi" w:hAnsiTheme="majorHAnsi"/>
          <w:bCs/>
        </w:rPr>
      </w:pPr>
      <w:r w:rsidRPr="00104C4F">
        <w:rPr>
          <w:rFonts w:asciiTheme="majorHAnsi" w:hAnsiTheme="majorHAnsi"/>
          <w:bCs/>
        </w:rPr>
        <w:t xml:space="preserve">Whether CPSF should use revenues from </w:t>
      </w:r>
      <w:r w:rsidR="00073EA4">
        <w:rPr>
          <w:rFonts w:asciiTheme="majorHAnsi" w:hAnsiTheme="majorHAnsi"/>
          <w:bCs/>
        </w:rPr>
        <w:t xml:space="preserve">its </w:t>
      </w:r>
      <w:r w:rsidRPr="00104C4F">
        <w:rPr>
          <w:rFonts w:asciiTheme="majorHAnsi" w:hAnsiTheme="majorHAnsi"/>
          <w:bCs/>
        </w:rPr>
        <w:t>residential customer</w:t>
      </w:r>
      <w:r w:rsidR="00073EA4">
        <w:rPr>
          <w:rFonts w:asciiTheme="majorHAnsi" w:hAnsiTheme="majorHAnsi"/>
          <w:bCs/>
        </w:rPr>
        <w:t xml:space="preserve"> account</w:t>
      </w:r>
      <w:r w:rsidRPr="00104C4F">
        <w:rPr>
          <w:rFonts w:asciiTheme="majorHAnsi" w:hAnsiTheme="majorHAnsi"/>
          <w:bCs/>
        </w:rPr>
        <w:t>s to induce commercial investments in energy efficiency;</w:t>
      </w:r>
    </w:p>
    <w:p w:rsidR="00F649D2" w:rsidRPr="00104C4F" w:rsidRDefault="00F649D2" w:rsidP="00F649D2">
      <w:pPr>
        <w:pStyle w:val="ListParagraph"/>
        <w:numPr>
          <w:ilvl w:val="0"/>
          <w:numId w:val="18"/>
        </w:numPr>
        <w:spacing w:line="288" w:lineRule="auto"/>
        <w:rPr>
          <w:rFonts w:asciiTheme="majorHAnsi" w:hAnsiTheme="majorHAnsi"/>
          <w:bCs/>
        </w:rPr>
      </w:pPr>
      <w:r w:rsidRPr="00104C4F">
        <w:rPr>
          <w:rFonts w:asciiTheme="majorHAnsi" w:hAnsiTheme="majorHAnsi"/>
          <w:bCs/>
        </w:rPr>
        <w:t>Whether CPSF should use energy efficiency program offerings as a way to attract commercial customers;</w:t>
      </w:r>
    </w:p>
    <w:p w:rsidR="00F649D2" w:rsidRPr="00104C4F" w:rsidRDefault="00F649D2" w:rsidP="00F649D2">
      <w:pPr>
        <w:pStyle w:val="ListParagraph"/>
        <w:numPr>
          <w:ilvl w:val="0"/>
          <w:numId w:val="18"/>
        </w:numPr>
        <w:spacing w:line="288" w:lineRule="auto"/>
        <w:rPr>
          <w:rFonts w:asciiTheme="majorHAnsi" w:hAnsiTheme="majorHAnsi"/>
          <w:bCs/>
        </w:rPr>
      </w:pPr>
      <w:r w:rsidRPr="00104C4F">
        <w:rPr>
          <w:rFonts w:asciiTheme="majorHAnsi" w:hAnsiTheme="majorHAnsi"/>
          <w:bCs/>
        </w:rPr>
        <w:t>Whether CPSF should manage demand and resource adequacy with cycling programs and other on-site controls;</w:t>
      </w:r>
    </w:p>
    <w:p w:rsidR="00F649D2" w:rsidRPr="00A1162C" w:rsidRDefault="0084335D" w:rsidP="00F649D2">
      <w:pPr>
        <w:pStyle w:val="ListParagraph"/>
        <w:numPr>
          <w:ilvl w:val="0"/>
          <w:numId w:val="18"/>
        </w:numPr>
        <w:spacing w:line="288" w:lineRule="auto"/>
        <w:rPr>
          <w:rFonts w:asciiTheme="majorHAnsi" w:hAnsiTheme="majorHAnsi"/>
          <w:bCs/>
        </w:rPr>
      </w:pPr>
      <w:r>
        <w:rPr>
          <w:rFonts w:asciiTheme="majorHAnsi" w:hAnsiTheme="majorHAnsi"/>
          <w:bCs/>
        </w:rPr>
        <w:t>W</w:t>
      </w:r>
      <w:r w:rsidR="00F649D2" w:rsidRPr="00104C4F">
        <w:rPr>
          <w:rFonts w:asciiTheme="majorHAnsi" w:hAnsiTheme="majorHAnsi"/>
          <w:bCs/>
        </w:rPr>
        <w:t>hether</w:t>
      </w:r>
      <w:r>
        <w:rPr>
          <w:rFonts w:asciiTheme="majorHAnsi" w:hAnsiTheme="majorHAnsi"/>
          <w:bCs/>
        </w:rPr>
        <w:t xml:space="preserve"> and how</w:t>
      </w:r>
      <w:r w:rsidR="00F649D2" w:rsidRPr="00104C4F">
        <w:rPr>
          <w:rFonts w:asciiTheme="majorHAnsi" w:hAnsiTheme="majorHAnsi"/>
          <w:bCs/>
        </w:rPr>
        <w:t xml:space="preserve"> CPSF can leverage existing programs</w:t>
      </w:r>
      <w:r>
        <w:rPr>
          <w:rFonts w:asciiTheme="majorHAnsi" w:hAnsiTheme="majorHAnsi"/>
          <w:bCs/>
        </w:rPr>
        <w:t xml:space="preserve"> and other agencies’ community connections</w:t>
      </w:r>
      <w:r w:rsidR="00F649D2" w:rsidRPr="00104C4F">
        <w:rPr>
          <w:rFonts w:asciiTheme="majorHAnsi" w:hAnsiTheme="majorHAnsi"/>
          <w:bCs/>
        </w:rPr>
        <w:t xml:space="preserve"> to make efficient use of limited resources</w:t>
      </w:r>
      <w:r>
        <w:rPr>
          <w:rFonts w:asciiTheme="majorHAnsi" w:hAnsiTheme="majorHAnsi"/>
          <w:bCs/>
        </w:rPr>
        <w:t>.</w:t>
      </w:r>
    </w:p>
    <w:p w:rsidR="00F649D2" w:rsidRPr="00104C4F" w:rsidRDefault="00F649D2" w:rsidP="00F649D2">
      <w:pPr>
        <w:spacing w:line="288" w:lineRule="auto"/>
        <w:rPr>
          <w:rFonts w:asciiTheme="majorHAnsi" w:hAnsiTheme="majorHAnsi"/>
        </w:rPr>
      </w:pPr>
    </w:p>
    <w:p w:rsidR="00F649D2" w:rsidRPr="00104C4F" w:rsidRDefault="00F649D2" w:rsidP="00F649D2">
      <w:pPr>
        <w:spacing w:line="288" w:lineRule="auto"/>
        <w:rPr>
          <w:rFonts w:asciiTheme="majorHAnsi" w:hAnsiTheme="majorHAnsi"/>
          <w:b/>
          <w:i/>
        </w:rPr>
      </w:pPr>
      <w:r w:rsidRPr="00BF7139">
        <w:rPr>
          <w:rFonts w:asciiTheme="majorHAnsi" w:hAnsiTheme="majorHAnsi"/>
          <w:b/>
          <w:bCs/>
          <w:i/>
          <w:iCs/>
          <w:u w:val="single"/>
        </w:rPr>
        <w:t>STRATEGY #4:</w:t>
      </w:r>
      <w:r w:rsidRPr="00104C4F">
        <w:rPr>
          <w:rFonts w:asciiTheme="majorHAnsi" w:hAnsiTheme="majorHAnsi"/>
          <w:b/>
          <w:bCs/>
          <w:i/>
          <w:iCs/>
        </w:rPr>
        <w:t xml:space="preserve">  </w:t>
      </w:r>
      <w:r w:rsidRPr="00104C4F">
        <w:rPr>
          <w:rFonts w:asciiTheme="majorHAnsi" w:hAnsiTheme="majorHAnsi"/>
          <w:b/>
          <w:i/>
        </w:rPr>
        <w:t xml:space="preserve"> CPSF </w:t>
      </w:r>
      <w:r w:rsidR="00E32314">
        <w:rPr>
          <w:rFonts w:asciiTheme="majorHAnsi" w:hAnsiTheme="majorHAnsi"/>
          <w:b/>
          <w:i/>
        </w:rPr>
        <w:t xml:space="preserve">will </w:t>
      </w:r>
      <w:r w:rsidRPr="00104C4F">
        <w:rPr>
          <w:rFonts w:asciiTheme="majorHAnsi" w:hAnsiTheme="majorHAnsi"/>
          <w:b/>
          <w:i/>
        </w:rPr>
        <w:t>support for energy efficiency improvements in commercial buildings</w:t>
      </w:r>
      <w:r w:rsidR="00E32314">
        <w:rPr>
          <w:rFonts w:asciiTheme="majorHAnsi" w:hAnsiTheme="majorHAnsi"/>
          <w:b/>
          <w:i/>
        </w:rPr>
        <w:t xml:space="preserve"> as a way to attract commercial customers</w:t>
      </w:r>
      <w:r w:rsidRPr="00104C4F">
        <w:rPr>
          <w:rFonts w:asciiTheme="majorHAnsi" w:hAnsiTheme="majorHAnsi"/>
          <w:b/>
          <w:i/>
        </w:rPr>
        <w:t>.</w:t>
      </w:r>
    </w:p>
    <w:p w:rsidR="00F649D2" w:rsidRPr="00104C4F" w:rsidRDefault="00F649D2" w:rsidP="00F649D2">
      <w:pPr>
        <w:spacing w:line="288" w:lineRule="auto"/>
        <w:rPr>
          <w:rFonts w:asciiTheme="majorHAnsi" w:hAnsiTheme="majorHAnsi"/>
        </w:rPr>
      </w:pPr>
    </w:p>
    <w:tbl>
      <w:tblPr>
        <w:tblW w:w="0" w:type="auto"/>
        <w:tblCellMar>
          <w:left w:w="0" w:type="dxa"/>
          <w:right w:w="0" w:type="dxa"/>
        </w:tblCellMar>
        <w:tblLook w:val="04A0" w:firstRow="1" w:lastRow="0" w:firstColumn="1" w:lastColumn="0" w:noHBand="0" w:noVBand="1"/>
      </w:tblPr>
      <w:tblGrid>
        <w:gridCol w:w="6768"/>
        <w:gridCol w:w="2808"/>
      </w:tblGrid>
      <w:tr w:rsidR="00F649D2" w:rsidRPr="00104C4F" w:rsidTr="009A555A">
        <w:tc>
          <w:tcPr>
            <w:tcW w:w="6768" w:type="dxa"/>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F649D2" w:rsidRPr="00104C4F" w:rsidRDefault="00F649D2" w:rsidP="009A555A">
            <w:pPr>
              <w:spacing w:line="288" w:lineRule="auto"/>
              <w:rPr>
                <w:rFonts w:asciiTheme="majorHAnsi" w:hAnsiTheme="majorHAnsi" w:cs="Calibri"/>
                <w:b/>
                <w:bCs/>
                <w:i/>
                <w:iCs/>
              </w:rPr>
            </w:pPr>
            <w:r w:rsidRPr="00104C4F">
              <w:rPr>
                <w:rFonts w:asciiTheme="majorHAnsi" w:hAnsiTheme="majorHAnsi"/>
                <w:b/>
                <w:bCs/>
                <w:i/>
                <w:iCs/>
              </w:rPr>
              <w:t>Work Task</w:t>
            </w:r>
            <w:r w:rsidR="00E32314">
              <w:rPr>
                <w:rFonts w:asciiTheme="majorHAnsi" w:hAnsiTheme="majorHAnsi"/>
                <w:b/>
                <w:bCs/>
                <w:i/>
                <w:iCs/>
              </w:rPr>
              <w:t>s</w:t>
            </w:r>
          </w:p>
        </w:tc>
        <w:tc>
          <w:tcPr>
            <w:tcW w:w="2808"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F649D2" w:rsidRPr="00104C4F" w:rsidRDefault="00F649D2" w:rsidP="009A555A">
            <w:pPr>
              <w:spacing w:line="288" w:lineRule="auto"/>
              <w:rPr>
                <w:rFonts w:asciiTheme="majorHAnsi" w:hAnsiTheme="majorHAnsi" w:cs="Calibri"/>
                <w:b/>
                <w:bCs/>
                <w:i/>
                <w:iCs/>
              </w:rPr>
            </w:pPr>
            <w:r w:rsidRPr="00104C4F">
              <w:rPr>
                <w:rFonts w:asciiTheme="majorHAnsi" w:hAnsiTheme="majorHAnsi"/>
                <w:b/>
                <w:bCs/>
                <w:i/>
                <w:iCs/>
              </w:rPr>
              <w:t>Timing</w:t>
            </w:r>
          </w:p>
        </w:tc>
      </w:tr>
      <w:tr w:rsidR="00F649D2" w:rsidRPr="00104C4F" w:rsidTr="009A555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49D2" w:rsidRPr="00104C4F" w:rsidRDefault="00F649D2" w:rsidP="009A555A">
            <w:pPr>
              <w:spacing w:line="288" w:lineRule="auto"/>
              <w:rPr>
                <w:rFonts w:asciiTheme="majorHAnsi" w:hAnsiTheme="majorHAnsi" w:cs="Calibri"/>
              </w:rPr>
            </w:pPr>
            <w:r w:rsidRPr="00104C4F">
              <w:rPr>
                <w:rFonts w:asciiTheme="majorHAnsi" w:hAnsiTheme="majorHAnsi"/>
              </w:rPr>
              <w:t xml:space="preserve">Assess how CPSF should use energy efficiency program offerings as a way to attract commercial customers </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49D2" w:rsidRPr="00104C4F" w:rsidRDefault="00FA26C0" w:rsidP="009A555A">
            <w:pPr>
              <w:spacing w:line="288" w:lineRule="auto"/>
              <w:rPr>
                <w:rFonts w:asciiTheme="majorHAnsi" w:hAnsiTheme="majorHAnsi" w:cs="Calibri"/>
              </w:rPr>
            </w:pPr>
            <w:r>
              <w:rPr>
                <w:rFonts w:asciiTheme="majorHAnsi" w:hAnsiTheme="majorHAnsi"/>
              </w:rPr>
              <w:t>Year 1</w:t>
            </w:r>
            <w:r w:rsidR="00F649D2" w:rsidRPr="00104C4F">
              <w:rPr>
                <w:rFonts w:asciiTheme="majorHAnsi" w:hAnsiTheme="majorHAnsi"/>
              </w:rPr>
              <w:t xml:space="preserve"> and </w:t>
            </w:r>
            <w:r>
              <w:rPr>
                <w:rFonts w:asciiTheme="majorHAnsi" w:hAnsiTheme="majorHAnsi"/>
              </w:rPr>
              <w:t>continuing</w:t>
            </w:r>
            <w:r w:rsidR="00F649D2" w:rsidRPr="00104C4F">
              <w:rPr>
                <w:rFonts w:asciiTheme="majorHAnsi" w:hAnsiTheme="majorHAnsi"/>
              </w:rPr>
              <w:t xml:space="preserve"> </w:t>
            </w:r>
          </w:p>
        </w:tc>
      </w:tr>
      <w:tr w:rsidR="00F649D2" w:rsidRPr="00104C4F" w:rsidTr="009A555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49D2" w:rsidRPr="00104C4F" w:rsidRDefault="00F649D2" w:rsidP="009A555A">
            <w:pPr>
              <w:spacing w:line="288" w:lineRule="auto"/>
              <w:rPr>
                <w:rFonts w:asciiTheme="majorHAnsi" w:hAnsiTheme="majorHAnsi" w:cs="Calibri"/>
              </w:rPr>
            </w:pPr>
            <w:r w:rsidRPr="00104C4F">
              <w:rPr>
                <w:rFonts w:asciiTheme="majorHAnsi" w:hAnsiTheme="majorHAnsi"/>
              </w:rPr>
              <w:t>Initiate a pilot program with SFE that would identify candidates for subsidized commercial energy efficiency improvements as inducement for becoming CPSF customers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49D2" w:rsidRPr="00104C4F" w:rsidRDefault="00FA26C0" w:rsidP="009A555A">
            <w:pPr>
              <w:spacing w:line="288" w:lineRule="auto"/>
              <w:rPr>
                <w:rFonts w:asciiTheme="majorHAnsi" w:hAnsiTheme="majorHAnsi" w:cs="Calibri"/>
              </w:rPr>
            </w:pPr>
            <w:r>
              <w:rPr>
                <w:rFonts w:asciiTheme="majorHAnsi" w:hAnsiTheme="majorHAnsi"/>
              </w:rPr>
              <w:t>Year 1</w:t>
            </w:r>
            <w:r w:rsidR="00F649D2" w:rsidRPr="00104C4F">
              <w:rPr>
                <w:rFonts w:asciiTheme="majorHAnsi" w:hAnsiTheme="majorHAnsi"/>
              </w:rPr>
              <w:t xml:space="preserve"> and </w:t>
            </w:r>
            <w:r>
              <w:rPr>
                <w:rFonts w:asciiTheme="majorHAnsi" w:hAnsiTheme="majorHAnsi"/>
              </w:rPr>
              <w:t>continuing</w:t>
            </w:r>
          </w:p>
        </w:tc>
      </w:tr>
      <w:tr w:rsidR="00F649D2" w:rsidRPr="00104C4F" w:rsidTr="009A555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49D2" w:rsidRPr="00104C4F" w:rsidRDefault="00F649D2" w:rsidP="009A555A">
            <w:pPr>
              <w:spacing w:line="288" w:lineRule="auto"/>
              <w:rPr>
                <w:rFonts w:asciiTheme="majorHAnsi" w:hAnsiTheme="majorHAnsi" w:cs="Calibri"/>
              </w:rPr>
            </w:pPr>
            <w:r w:rsidRPr="00104C4F">
              <w:rPr>
                <w:rFonts w:asciiTheme="majorHAnsi" w:hAnsiTheme="majorHAnsi"/>
              </w:rPr>
              <w:t>Determine whether and how CPSF could manage demand and resource adequacy with cycling programs and other on-site control</w:t>
            </w:r>
            <w:r w:rsidR="00E32314">
              <w:rPr>
                <w:rFonts w:asciiTheme="majorHAnsi" w:hAnsiTheme="majorHAnsi"/>
              </w:rPr>
              <w:t xml:space="preserve"> technologies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49D2" w:rsidRPr="00104C4F" w:rsidRDefault="00FA26C0" w:rsidP="009A555A">
            <w:pPr>
              <w:spacing w:line="288" w:lineRule="auto"/>
              <w:rPr>
                <w:rFonts w:asciiTheme="majorHAnsi" w:hAnsiTheme="majorHAnsi" w:cs="Calibri"/>
              </w:rPr>
            </w:pPr>
            <w:r>
              <w:rPr>
                <w:rFonts w:asciiTheme="majorHAnsi" w:hAnsiTheme="majorHAnsi"/>
              </w:rPr>
              <w:t>Year 1</w:t>
            </w:r>
            <w:r w:rsidR="00F649D2" w:rsidRPr="00104C4F">
              <w:rPr>
                <w:rFonts w:asciiTheme="majorHAnsi" w:hAnsiTheme="majorHAnsi"/>
              </w:rPr>
              <w:t xml:space="preserve"> and </w:t>
            </w:r>
            <w:r>
              <w:rPr>
                <w:rFonts w:asciiTheme="majorHAnsi" w:hAnsiTheme="majorHAnsi"/>
              </w:rPr>
              <w:t>continuing</w:t>
            </w:r>
          </w:p>
        </w:tc>
      </w:tr>
      <w:tr w:rsidR="00F649D2" w:rsidRPr="00104C4F" w:rsidTr="009A555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49D2" w:rsidRPr="00104C4F" w:rsidRDefault="00F649D2" w:rsidP="009A555A">
            <w:pPr>
              <w:spacing w:line="288" w:lineRule="auto"/>
              <w:rPr>
                <w:rFonts w:asciiTheme="majorHAnsi" w:hAnsiTheme="majorHAnsi" w:cs="Calibri"/>
              </w:rPr>
            </w:pPr>
            <w:r w:rsidRPr="00104C4F">
              <w:rPr>
                <w:rFonts w:asciiTheme="majorHAnsi" w:hAnsiTheme="majorHAnsi"/>
              </w:rPr>
              <w:t>Develop ways to leverage existing programs and other agencies’ community connections to make efficient use of limited resources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49D2" w:rsidRPr="00104C4F" w:rsidRDefault="00FA26C0" w:rsidP="009A555A">
            <w:pPr>
              <w:spacing w:line="288" w:lineRule="auto"/>
              <w:rPr>
                <w:rFonts w:asciiTheme="majorHAnsi" w:hAnsiTheme="majorHAnsi" w:cs="Calibri"/>
              </w:rPr>
            </w:pPr>
            <w:r>
              <w:rPr>
                <w:rFonts w:asciiTheme="majorHAnsi" w:hAnsiTheme="majorHAnsi"/>
              </w:rPr>
              <w:t>O</w:t>
            </w:r>
            <w:r w:rsidR="00F649D2" w:rsidRPr="00104C4F">
              <w:rPr>
                <w:rFonts w:asciiTheme="majorHAnsi" w:hAnsiTheme="majorHAnsi"/>
              </w:rPr>
              <w:t>ngoing</w:t>
            </w:r>
          </w:p>
        </w:tc>
      </w:tr>
    </w:tbl>
    <w:p w:rsidR="00F649D2" w:rsidRPr="00104C4F" w:rsidRDefault="00F649D2" w:rsidP="00F649D2">
      <w:pPr>
        <w:rPr>
          <w:rFonts w:asciiTheme="majorHAnsi" w:hAnsiTheme="majorHAnsi" w:cs="Calibri"/>
        </w:rPr>
      </w:pPr>
    </w:p>
    <w:p w:rsidR="00D246DB" w:rsidRPr="00116FA2" w:rsidRDefault="00D246DB" w:rsidP="00073EA4">
      <w:pPr>
        <w:pStyle w:val="Heading1"/>
        <w:numPr>
          <w:ilvl w:val="0"/>
          <w:numId w:val="0"/>
        </w:numPr>
      </w:pPr>
    </w:p>
    <w:p w:rsidR="00D246DB" w:rsidRPr="0086749C" w:rsidRDefault="00D246DB" w:rsidP="00073EA4">
      <w:pPr>
        <w:pStyle w:val="Heading1"/>
        <w:rPr>
          <w:color w:val="000000"/>
          <w14:textFill>
            <w14:solidFill>
              <w14:srgbClr w14:val="000000">
                <w14:lumMod w14:val="65000"/>
                <w14:lumOff w14:val="35000"/>
              </w14:srgbClr>
            </w14:solidFill>
          </w14:textFill>
        </w:rPr>
      </w:pPr>
      <w:r>
        <w:t xml:space="preserve">COMPONENTS OF BUILD-OUT: </w:t>
      </w:r>
      <w:r w:rsidRPr="0086749C">
        <w:t>RENEWABLE ENERGY PRODUCTION AND PURCHASES</w:t>
      </w:r>
    </w:p>
    <w:p w:rsidR="00D246DB" w:rsidRDefault="00D246DB" w:rsidP="00D246DB">
      <w:pPr>
        <w:rPr>
          <w:rFonts w:asciiTheme="majorHAnsi" w:hAnsiTheme="majorHAnsi"/>
          <w:lang w:bidi="en-US"/>
        </w:rPr>
      </w:pPr>
    </w:p>
    <w:p w:rsidR="004D13EA" w:rsidRPr="00104C4F" w:rsidRDefault="004D13EA" w:rsidP="004D13EA">
      <w:pPr>
        <w:spacing w:line="288" w:lineRule="auto"/>
        <w:rPr>
          <w:rFonts w:asciiTheme="majorHAnsi" w:hAnsiTheme="majorHAnsi"/>
        </w:rPr>
      </w:pPr>
      <w:r w:rsidRPr="00104C4F">
        <w:rPr>
          <w:rFonts w:asciiTheme="majorHAnsi" w:hAnsiTheme="majorHAnsi"/>
        </w:rPr>
        <w:t xml:space="preserve">Consistent with </w:t>
      </w:r>
      <w:r>
        <w:rPr>
          <w:rFonts w:asciiTheme="majorHAnsi" w:hAnsiTheme="majorHAnsi"/>
        </w:rPr>
        <w:t>City</w:t>
      </w:r>
      <w:r w:rsidRPr="00104C4F">
        <w:rPr>
          <w:rFonts w:asciiTheme="majorHAnsi" w:hAnsiTheme="majorHAnsi"/>
        </w:rPr>
        <w:t xml:space="preserve"> policy, CPSF plans to promote investments in renewable energy facilities, such as solar photovoltaic, wind farms, and small hydro projects.  Except for facilities that are behind-the-meter on customer properties, </w:t>
      </w:r>
      <w:r>
        <w:rPr>
          <w:rFonts w:asciiTheme="majorHAnsi" w:hAnsiTheme="majorHAnsi"/>
        </w:rPr>
        <w:t xml:space="preserve">most </w:t>
      </w:r>
      <w:r w:rsidRPr="00104C4F">
        <w:rPr>
          <w:rFonts w:asciiTheme="majorHAnsi" w:hAnsiTheme="majorHAnsi"/>
        </w:rPr>
        <w:t xml:space="preserve">renewable electricity projects would meet the </w:t>
      </w:r>
      <w:r w:rsidR="00DE2D08">
        <w:rPr>
          <w:rFonts w:asciiTheme="majorHAnsi" w:hAnsiTheme="majorHAnsi"/>
        </w:rPr>
        <w:t>S</w:t>
      </w:r>
      <w:r w:rsidRPr="00104C4F">
        <w:rPr>
          <w:rFonts w:asciiTheme="majorHAnsi" w:hAnsiTheme="majorHAnsi"/>
        </w:rPr>
        <w:t>tate</w:t>
      </w:r>
      <w:r w:rsidR="00DE2D08">
        <w:rPr>
          <w:rFonts w:asciiTheme="majorHAnsi" w:hAnsiTheme="majorHAnsi"/>
        </w:rPr>
        <w:t>’</w:t>
      </w:r>
      <w:r w:rsidRPr="00104C4F">
        <w:rPr>
          <w:rFonts w:asciiTheme="majorHAnsi" w:hAnsiTheme="majorHAnsi"/>
        </w:rPr>
        <w:t>s “renewable portfolio st</w:t>
      </w:r>
      <w:r w:rsidR="0086749C">
        <w:rPr>
          <w:rFonts w:asciiTheme="majorHAnsi" w:hAnsiTheme="majorHAnsi"/>
        </w:rPr>
        <w:t xml:space="preserve">andards” (RPS), which gradually </w:t>
      </w:r>
      <w:r w:rsidRPr="00104C4F">
        <w:rPr>
          <w:rFonts w:asciiTheme="majorHAnsi" w:hAnsiTheme="majorHAnsi"/>
        </w:rPr>
        <w:t xml:space="preserve">increase through 2017 to require that 33% of total purchases use </w:t>
      </w:r>
      <w:r>
        <w:rPr>
          <w:rFonts w:asciiTheme="majorHAnsi" w:hAnsiTheme="majorHAnsi"/>
        </w:rPr>
        <w:t xml:space="preserve">renewable </w:t>
      </w:r>
      <w:r w:rsidRPr="00104C4F">
        <w:rPr>
          <w:rFonts w:asciiTheme="majorHAnsi" w:hAnsiTheme="majorHAnsi"/>
        </w:rPr>
        <w:t xml:space="preserve">electricity produced from </w:t>
      </w:r>
      <w:r>
        <w:rPr>
          <w:rFonts w:asciiTheme="majorHAnsi" w:hAnsiTheme="majorHAnsi"/>
        </w:rPr>
        <w:t xml:space="preserve">RPS-qualifying facilities. </w:t>
      </w:r>
      <w:r w:rsidRPr="00104C4F">
        <w:rPr>
          <w:rFonts w:asciiTheme="majorHAnsi" w:hAnsiTheme="majorHAnsi"/>
        </w:rPr>
        <w:t xml:space="preserve">Developing local renewable resources would allow CPSF to either </w:t>
      </w:r>
      <w:r>
        <w:rPr>
          <w:rFonts w:asciiTheme="majorHAnsi" w:hAnsiTheme="majorHAnsi"/>
        </w:rPr>
        <w:t>replace</w:t>
      </w:r>
      <w:r w:rsidRPr="00104C4F">
        <w:rPr>
          <w:rFonts w:asciiTheme="majorHAnsi" w:hAnsiTheme="majorHAnsi"/>
        </w:rPr>
        <w:t xml:space="preserve"> market purchases of RPS products or increase the mix of “bundled” renewable power in its portfolio.</w:t>
      </w:r>
    </w:p>
    <w:p w:rsidR="004D13EA" w:rsidRPr="00104C4F" w:rsidRDefault="004D13EA" w:rsidP="004D13EA">
      <w:pPr>
        <w:spacing w:line="288" w:lineRule="auto"/>
        <w:rPr>
          <w:rFonts w:asciiTheme="majorHAnsi" w:hAnsiTheme="majorHAnsi"/>
        </w:rPr>
      </w:pPr>
    </w:p>
    <w:p w:rsidR="00DE2D08" w:rsidRPr="00BF7139" w:rsidRDefault="00DE2D08" w:rsidP="009057C0">
      <w:pPr>
        <w:spacing w:line="288" w:lineRule="auto"/>
        <w:ind w:left="720"/>
        <w:rPr>
          <w:rFonts w:asciiTheme="majorHAnsi" w:hAnsiTheme="majorHAnsi"/>
          <w:b/>
          <w:u w:val="single"/>
        </w:rPr>
      </w:pPr>
      <w:r w:rsidRPr="00BF7139">
        <w:rPr>
          <w:rFonts w:asciiTheme="majorHAnsi" w:hAnsiTheme="majorHAnsi"/>
          <w:b/>
          <w:u w:val="single"/>
        </w:rPr>
        <w:t>PRIVATELY-OWNED PROJECTS ON CITY PROPERTY AND CITY-OWNED PROJECTS</w:t>
      </w:r>
    </w:p>
    <w:p w:rsidR="004D13EA" w:rsidRPr="00DE2D08" w:rsidRDefault="004D13EA" w:rsidP="00DE2D08">
      <w:pPr>
        <w:spacing w:line="288" w:lineRule="auto"/>
        <w:rPr>
          <w:rFonts w:asciiTheme="majorHAnsi" w:hAnsiTheme="majorHAnsi"/>
        </w:rPr>
      </w:pPr>
      <w:r w:rsidRPr="00DE2D08">
        <w:rPr>
          <w:rFonts w:asciiTheme="majorHAnsi" w:hAnsiTheme="majorHAnsi"/>
        </w:rPr>
        <w:t xml:space="preserve">The ERP recommends </w:t>
      </w:r>
      <w:r w:rsidR="00DE2D08">
        <w:rPr>
          <w:rFonts w:asciiTheme="majorHAnsi" w:hAnsiTheme="majorHAnsi"/>
        </w:rPr>
        <w:t>the City</w:t>
      </w:r>
      <w:r w:rsidR="00DE2D08" w:rsidRPr="00DE2D08">
        <w:rPr>
          <w:rFonts w:asciiTheme="majorHAnsi" w:hAnsiTheme="majorHAnsi"/>
        </w:rPr>
        <w:t xml:space="preserve"> </w:t>
      </w:r>
      <w:r w:rsidRPr="00DE2D08">
        <w:rPr>
          <w:rFonts w:asciiTheme="majorHAnsi" w:hAnsiTheme="majorHAnsi"/>
        </w:rPr>
        <w:t>purchase power from renewable facilities owned and operated by private developers and on C</w:t>
      </w:r>
      <w:r w:rsidR="00DE2D08">
        <w:rPr>
          <w:rFonts w:asciiTheme="majorHAnsi" w:hAnsiTheme="majorHAnsi"/>
        </w:rPr>
        <w:t>ity</w:t>
      </w:r>
      <w:r w:rsidRPr="00DE2D08">
        <w:rPr>
          <w:rFonts w:asciiTheme="majorHAnsi" w:hAnsiTheme="majorHAnsi"/>
        </w:rPr>
        <w:t xml:space="preserve">-owned infrastructure, such as government buildings, open space and parking lots.  Private developers may take advantage of </w:t>
      </w:r>
      <w:r w:rsidR="00DE2D08">
        <w:rPr>
          <w:rFonts w:asciiTheme="majorHAnsi" w:hAnsiTheme="majorHAnsi"/>
        </w:rPr>
        <w:t xml:space="preserve">particular incentives </w:t>
      </w:r>
      <w:r w:rsidRPr="00DE2D08">
        <w:rPr>
          <w:rFonts w:asciiTheme="majorHAnsi" w:hAnsiTheme="majorHAnsi"/>
        </w:rPr>
        <w:t xml:space="preserve">and federal tax provisions that </w:t>
      </w:r>
      <w:r w:rsidR="00DE2D08">
        <w:rPr>
          <w:rFonts w:asciiTheme="majorHAnsi" w:hAnsiTheme="majorHAnsi"/>
        </w:rPr>
        <w:t>lower</w:t>
      </w:r>
      <w:r w:rsidRPr="00DE2D08">
        <w:rPr>
          <w:rFonts w:asciiTheme="majorHAnsi" w:hAnsiTheme="majorHAnsi"/>
        </w:rPr>
        <w:t xml:space="preserve"> the cost of renewable energy investments. CPSF can leverage these tax benefits, which are not available to government agencies, by contracting with private developers for long term power purchases from facilities built on City property.  CPSF may also be able to invest directly in projects constructed on City property. City-owned projects could be constructed using private contractors or by agreement with the </w:t>
      </w:r>
      <w:r w:rsidR="00DE2D08">
        <w:rPr>
          <w:rFonts w:asciiTheme="majorHAnsi" w:hAnsiTheme="majorHAnsi"/>
        </w:rPr>
        <w:t xml:space="preserve">San Francisco </w:t>
      </w:r>
      <w:r w:rsidRPr="00DE2D08">
        <w:rPr>
          <w:rFonts w:asciiTheme="majorHAnsi" w:hAnsiTheme="majorHAnsi"/>
        </w:rPr>
        <w:t>Department of Public Works.</w:t>
      </w:r>
    </w:p>
    <w:p w:rsidR="004D13EA" w:rsidRPr="00104C4F" w:rsidRDefault="004D13EA" w:rsidP="004D13EA">
      <w:pPr>
        <w:spacing w:line="288" w:lineRule="auto"/>
        <w:rPr>
          <w:rFonts w:asciiTheme="majorHAnsi" w:hAnsiTheme="majorHAnsi"/>
        </w:rPr>
      </w:pPr>
    </w:p>
    <w:p w:rsidR="004D13EA" w:rsidRDefault="004D13EA" w:rsidP="004D13EA">
      <w:pPr>
        <w:spacing w:line="288" w:lineRule="auto"/>
        <w:rPr>
          <w:rFonts w:asciiTheme="majorHAnsi" w:hAnsiTheme="majorHAnsi"/>
        </w:rPr>
      </w:pPr>
      <w:r w:rsidRPr="00104C4F">
        <w:rPr>
          <w:rFonts w:asciiTheme="majorHAnsi" w:hAnsiTheme="majorHAnsi"/>
        </w:rPr>
        <w:t>Table 1 and Table 2 summarize renewable projects</w:t>
      </w:r>
      <w:r w:rsidR="00DE2D08">
        <w:rPr>
          <w:rFonts w:asciiTheme="majorHAnsi" w:hAnsiTheme="majorHAnsi"/>
        </w:rPr>
        <w:t xml:space="preserve"> for</w:t>
      </w:r>
      <w:r w:rsidRPr="00104C4F">
        <w:rPr>
          <w:rFonts w:asciiTheme="majorHAnsi" w:hAnsiTheme="majorHAnsi"/>
        </w:rPr>
        <w:t xml:space="preserve"> CPSF in terms of potential costs, size and location.  The costs of these projects are expected to be considerably lower than at the time they were originally analyzed.  </w:t>
      </w:r>
      <w:r w:rsidR="00DE2D08">
        <w:rPr>
          <w:rFonts w:asciiTheme="majorHAnsi" w:hAnsiTheme="majorHAnsi"/>
        </w:rPr>
        <w:t>CPSF should</w:t>
      </w:r>
      <w:r w:rsidRPr="00104C4F">
        <w:rPr>
          <w:rFonts w:asciiTheme="majorHAnsi" w:hAnsiTheme="majorHAnsi"/>
        </w:rPr>
        <w:t xml:space="preserve"> also investigat</w:t>
      </w:r>
      <w:r w:rsidR="00DE2D08">
        <w:rPr>
          <w:rFonts w:asciiTheme="majorHAnsi" w:hAnsiTheme="majorHAnsi"/>
        </w:rPr>
        <w:t>e</w:t>
      </w:r>
      <w:r w:rsidRPr="00104C4F">
        <w:rPr>
          <w:rFonts w:asciiTheme="majorHAnsi" w:hAnsiTheme="majorHAnsi"/>
        </w:rPr>
        <w:t xml:space="preserve"> whether </w:t>
      </w:r>
      <w:r w:rsidR="00DE2D08">
        <w:rPr>
          <w:rFonts w:asciiTheme="majorHAnsi" w:hAnsiTheme="majorHAnsi"/>
        </w:rPr>
        <w:t>the program</w:t>
      </w:r>
      <w:r w:rsidR="00DE2D08" w:rsidRPr="00104C4F">
        <w:rPr>
          <w:rFonts w:asciiTheme="majorHAnsi" w:hAnsiTheme="majorHAnsi"/>
        </w:rPr>
        <w:t xml:space="preserve"> </w:t>
      </w:r>
      <w:r w:rsidRPr="00104C4F">
        <w:rPr>
          <w:rFonts w:asciiTheme="majorHAnsi" w:hAnsiTheme="majorHAnsi"/>
        </w:rPr>
        <w:t>or its customers could get the benefit of reduced transmission costs for projects that are located in or adjacent to CCA territory. SFPUC staff has also surveyed possible candidates for smaller rooftop solar projects</w:t>
      </w:r>
      <w:r w:rsidR="00DE2D08">
        <w:rPr>
          <w:rFonts w:asciiTheme="majorHAnsi" w:hAnsiTheme="majorHAnsi"/>
        </w:rPr>
        <w:t xml:space="preserve"> and small hydro systems</w:t>
      </w:r>
      <w:r w:rsidRPr="00104C4F">
        <w:rPr>
          <w:rFonts w:asciiTheme="majorHAnsi" w:hAnsiTheme="majorHAnsi"/>
        </w:rPr>
        <w:t>.</w:t>
      </w:r>
    </w:p>
    <w:p w:rsidR="00DE2D08" w:rsidRPr="00104C4F" w:rsidRDefault="00DE2D08" w:rsidP="004D13EA">
      <w:pPr>
        <w:spacing w:line="288" w:lineRule="auto"/>
        <w:rPr>
          <w:rFonts w:asciiTheme="majorHAnsi" w:hAnsiTheme="majorHAnsi"/>
        </w:rPr>
      </w:pPr>
    </w:p>
    <w:p w:rsidR="00073EA4" w:rsidRDefault="00DE2D08" w:rsidP="00073EA4">
      <w:pPr>
        <w:spacing w:line="288" w:lineRule="auto"/>
        <w:rPr>
          <w:rFonts w:asciiTheme="majorHAnsi" w:hAnsiTheme="majorHAnsi"/>
          <w:b/>
          <w:i/>
        </w:rPr>
      </w:pPr>
      <w:r w:rsidRPr="00073EA4">
        <w:rPr>
          <w:rFonts w:asciiTheme="majorHAnsi" w:hAnsiTheme="majorHAnsi"/>
          <w:b/>
          <w:i/>
        </w:rPr>
        <w:t>Potential Concerns:</w:t>
      </w:r>
    </w:p>
    <w:p w:rsidR="004D13EA" w:rsidRPr="00073EA4" w:rsidRDefault="004D13EA" w:rsidP="00073EA4">
      <w:pPr>
        <w:pStyle w:val="ListParagraph"/>
        <w:numPr>
          <w:ilvl w:val="0"/>
          <w:numId w:val="44"/>
        </w:numPr>
        <w:spacing w:line="288" w:lineRule="auto"/>
        <w:rPr>
          <w:rFonts w:asciiTheme="majorHAnsi" w:hAnsiTheme="majorHAnsi"/>
        </w:rPr>
      </w:pPr>
      <w:r w:rsidRPr="00073EA4">
        <w:rPr>
          <w:rFonts w:asciiTheme="majorHAnsi" w:hAnsiTheme="majorHAnsi"/>
        </w:rPr>
        <w:t>Whether and under what conditions CPSF should finance and construct renewable projects as opposed to entering into PPAs with project developers;</w:t>
      </w:r>
    </w:p>
    <w:p w:rsidR="004D13EA" w:rsidRPr="00104C4F" w:rsidRDefault="004D13EA" w:rsidP="004D13EA">
      <w:pPr>
        <w:pStyle w:val="ListParagraph"/>
        <w:numPr>
          <w:ilvl w:val="0"/>
          <w:numId w:val="24"/>
        </w:numPr>
        <w:spacing w:line="288" w:lineRule="auto"/>
        <w:rPr>
          <w:rFonts w:asciiTheme="majorHAnsi" w:hAnsiTheme="majorHAnsi"/>
        </w:rPr>
      </w:pPr>
      <w:r w:rsidRPr="00104C4F">
        <w:rPr>
          <w:rFonts w:asciiTheme="majorHAnsi" w:hAnsiTheme="majorHAnsi"/>
        </w:rPr>
        <w:t xml:space="preserve">Whether and under what circumstances CPSF should pursue </w:t>
      </w:r>
      <w:r w:rsidR="00DE2D08">
        <w:rPr>
          <w:rFonts w:asciiTheme="majorHAnsi" w:hAnsiTheme="majorHAnsi"/>
        </w:rPr>
        <w:t>construction of renewable projects</w:t>
      </w:r>
      <w:r w:rsidRPr="00104C4F">
        <w:rPr>
          <w:rFonts w:asciiTheme="majorHAnsi" w:hAnsiTheme="majorHAnsi"/>
        </w:rPr>
        <w:t xml:space="preserve"> on identified City property or issue RFPs for projects that would be constructed according to the property and resources available to developers;</w:t>
      </w:r>
    </w:p>
    <w:p w:rsidR="004D13EA" w:rsidRDefault="004D13EA" w:rsidP="004D13EA">
      <w:pPr>
        <w:pStyle w:val="ListParagraph"/>
        <w:numPr>
          <w:ilvl w:val="0"/>
          <w:numId w:val="24"/>
        </w:numPr>
        <w:spacing w:line="288" w:lineRule="auto"/>
        <w:rPr>
          <w:rFonts w:asciiTheme="majorHAnsi" w:hAnsiTheme="majorHAnsi"/>
        </w:rPr>
      </w:pPr>
      <w:r w:rsidRPr="00104C4F">
        <w:rPr>
          <w:rFonts w:asciiTheme="majorHAnsi" w:hAnsiTheme="majorHAnsi"/>
        </w:rPr>
        <w:t>The timing of CPSF’s development of City projects</w:t>
      </w:r>
    </w:p>
    <w:p w:rsidR="00DE2D08" w:rsidRPr="00104C4F" w:rsidRDefault="00DE2D08" w:rsidP="00BF7139">
      <w:pPr>
        <w:pStyle w:val="ListParagraph"/>
        <w:spacing w:line="288" w:lineRule="auto"/>
        <w:rPr>
          <w:rFonts w:asciiTheme="majorHAnsi" w:hAnsiTheme="majorHAnsi"/>
        </w:rPr>
      </w:pPr>
    </w:p>
    <w:p w:rsidR="004D13EA" w:rsidRPr="00104C4F" w:rsidRDefault="004D13EA" w:rsidP="004D13EA">
      <w:pPr>
        <w:spacing w:line="288" w:lineRule="auto"/>
        <w:rPr>
          <w:rFonts w:asciiTheme="majorHAnsi" w:hAnsiTheme="majorHAnsi"/>
          <w:b/>
          <w:i/>
        </w:rPr>
      </w:pPr>
      <w:r w:rsidRPr="00BF7139">
        <w:rPr>
          <w:rFonts w:asciiTheme="majorHAnsi" w:hAnsiTheme="majorHAnsi"/>
          <w:b/>
          <w:i/>
          <w:u w:val="single"/>
        </w:rPr>
        <w:t xml:space="preserve">STRATEGY </w:t>
      </w:r>
      <w:r w:rsidR="008B6EC4">
        <w:rPr>
          <w:rFonts w:asciiTheme="majorHAnsi" w:hAnsiTheme="majorHAnsi"/>
          <w:b/>
          <w:i/>
          <w:u w:val="single"/>
        </w:rPr>
        <w:t>#</w:t>
      </w:r>
      <w:r w:rsidR="00F954BD">
        <w:rPr>
          <w:rFonts w:asciiTheme="majorHAnsi" w:hAnsiTheme="majorHAnsi"/>
          <w:b/>
          <w:i/>
          <w:u w:val="single"/>
        </w:rPr>
        <w:t>5</w:t>
      </w:r>
      <w:r w:rsidRPr="00BF7139">
        <w:rPr>
          <w:rFonts w:asciiTheme="majorHAnsi" w:hAnsiTheme="majorHAnsi"/>
          <w:b/>
          <w:i/>
          <w:u w:val="single"/>
        </w:rPr>
        <w:t>:</w:t>
      </w:r>
      <w:r w:rsidRPr="00104C4F">
        <w:rPr>
          <w:rFonts w:asciiTheme="majorHAnsi" w:hAnsiTheme="majorHAnsi"/>
          <w:b/>
          <w:i/>
        </w:rPr>
        <w:t xml:space="preserve">  CPSF </w:t>
      </w:r>
      <w:r w:rsidR="002007B3">
        <w:rPr>
          <w:rFonts w:asciiTheme="majorHAnsi" w:hAnsiTheme="majorHAnsi"/>
          <w:b/>
          <w:i/>
        </w:rPr>
        <w:t>will in</w:t>
      </w:r>
      <w:r w:rsidRPr="00104C4F">
        <w:rPr>
          <w:rFonts w:asciiTheme="majorHAnsi" w:hAnsiTheme="majorHAnsi"/>
          <w:b/>
          <w:i/>
        </w:rPr>
        <w:t xml:space="preserve">vestigate City sites that might be attractive for construction of privately owned projects, </w:t>
      </w:r>
      <w:r w:rsidR="00073EA4">
        <w:rPr>
          <w:rFonts w:asciiTheme="majorHAnsi" w:hAnsiTheme="majorHAnsi"/>
          <w:b/>
          <w:i/>
        </w:rPr>
        <w:t>build</w:t>
      </w:r>
      <w:r w:rsidR="002007B3">
        <w:rPr>
          <w:rFonts w:asciiTheme="majorHAnsi" w:hAnsiTheme="majorHAnsi"/>
          <w:b/>
          <w:i/>
        </w:rPr>
        <w:t>ing</w:t>
      </w:r>
      <w:r w:rsidR="00073EA4">
        <w:rPr>
          <w:rFonts w:asciiTheme="majorHAnsi" w:hAnsiTheme="majorHAnsi"/>
          <w:b/>
          <w:i/>
        </w:rPr>
        <w:t xml:space="preserve"> on the information provided by existing analysis of individual projects</w:t>
      </w:r>
      <w:r w:rsidR="002007B3">
        <w:rPr>
          <w:rFonts w:asciiTheme="majorHAnsi" w:hAnsiTheme="majorHAnsi"/>
          <w:b/>
          <w:i/>
        </w:rPr>
        <w:t xml:space="preserve">. It will continue to identify prospects </w:t>
      </w:r>
      <w:r w:rsidRPr="00104C4F">
        <w:rPr>
          <w:rFonts w:asciiTheme="majorHAnsi" w:hAnsiTheme="majorHAnsi"/>
          <w:b/>
          <w:i/>
        </w:rPr>
        <w:t xml:space="preserve"> for City-owned projects</w:t>
      </w:r>
      <w:r w:rsidR="00E32314">
        <w:rPr>
          <w:rFonts w:asciiTheme="majorHAnsi" w:hAnsiTheme="majorHAnsi"/>
          <w:b/>
          <w:i/>
        </w:rPr>
        <w:t xml:space="preserve"> and privately-owned projects on City property</w:t>
      </w:r>
      <w:r w:rsidRPr="00104C4F">
        <w:rPr>
          <w:rFonts w:asciiTheme="majorHAnsi" w:hAnsiTheme="majorHAnsi"/>
          <w:b/>
          <w:i/>
        </w:rPr>
        <w:t xml:space="preserve">.  </w:t>
      </w:r>
    </w:p>
    <w:p w:rsidR="00DE2D08" w:rsidRDefault="004D13EA" w:rsidP="004D13EA">
      <w:pPr>
        <w:spacing w:line="288" w:lineRule="auto"/>
        <w:rPr>
          <w:rFonts w:asciiTheme="majorHAnsi" w:hAnsiTheme="majorHAnsi"/>
        </w:rPr>
      </w:pPr>
      <w:r w:rsidRPr="00104C4F">
        <w:rPr>
          <w:rFonts w:asciiTheme="majorHAnsi" w:hAnsiTheme="majorHAnsi"/>
        </w:rPr>
        <w:t xml:space="preserve"> </w:t>
      </w:r>
    </w:p>
    <w:tbl>
      <w:tblPr>
        <w:tblW w:w="0" w:type="auto"/>
        <w:tblCellMar>
          <w:left w:w="0" w:type="dxa"/>
          <w:right w:w="0" w:type="dxa"/>
        </w:tblCellMar>
        <w:tblLook w:val="04A0" w:firstRow="1" w:lastRow="0" w:firstColumn="1" w:lastColumn="0" w:noHBand="0" w:noVBand="1"/>
      </w:tblPr>
      <w:tblGrid>
        <w:gridCol w:w="6768"/>
        <w:gridCol w:w="2808"/>
      </w:tblGrid>
      <w:tr w:rsidR="00DE2D08" w:rsidRPr="00104C4F" w:rsidTr="0086749C">
        <w:tc>
          <w:tcPr>
            <w:tcW w:w="6768" w:type="dxa"/>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DE2D08" w:rsidRPr="00104C4F" w:rsidRDefault="00DE2D08" w:rsidP="0086749C">
            <w:pPr>
              <w:spacing w:line="288" w:lineRule="auto"/>
              <w:rPr>
                <w:rFonts w:asciiTheme="majorHAnsi" w:hAnsiTheme="majorHAnsi" w:cs="Calibri"/>
                <w:b/>
                <w:bCs/>
                <w:i/>
                <w:iCs/>
              </w:rPr>
            </w:pPr>
            <w:r w:rsidRPr="00104C4F">
              <w:rPr>
                <w:rFonts w:asciiTheme="majorHAnsi" w:hAnsiTheme="majorHAnsi"/>
                <w:b/>
                <w:bCs/>
                <w:i/>
                <w:iCs/>
              </w:rPr>
              <w:t>Work Task</w:t>
            </w:r>
          </w:p>
        </w:tc>
        <w:tc>
          <w:tcPr>
            <w:tcW w:w="2808"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DE2D08" w:rsidRPr="00104C4F" w:rsidRDefault="00DE2D08" w:rsidP="0086749C">
            <w:pPr>
              <w:spacing w:line="288" w:lineRule="auto"/>
              <w:rPr>
                <w:rFonts w:asciiTheme="majorHAnsi" w:hAnsiTheme="majorHAnsi" w:cs="Calibri"/>
                <w:b/>
                <w:bCs/>
                <w:i/>
                <w:iCs/>
              </w:rPr>
            </w:pPr>
            <w:r w:rsidRPr="00104C4F">
              <w:rPr>
                <w:rFonts w:asciiTheme="majorHAnsi" w:hAnsiTheme="majorHAnsi"/>
                <w:b/>
                <w:bCs/>
                <w:i/>
                <w:iCs/>
              </w:rPr>
              <w:t>Timing</w:t>
            </w:r>
          </w:p>
        </w:tc>
      </w:tr>
      <w:tr w:rsidR="00DE2D08" w:rsidRPr="00104C4F" w:rsidTr="0086749C">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2D08" w:rsidRPr="00104C4F" w:rsidRDefault="00DE2D08" w:rsidP="0086749C">
            <w:pPr>
              <w:spacing w:line="288" w:lineRule="auto"/>
              <w:rPr>
                <w:rFonts w:asciiTheme="majorHAnsi" w:hAnsiTheme="majorHAnsi" w:cs="Calibri"/>
              </w:rPr>
            </w:pPr>
            <w:r w:rsidRPr="00104C4F">
              <w:rPr>
                <w:rFonts w:asciiTheme="majorHAnsi" w:hAnsiTheme="majorHAnsi"/>
              </w:rPr>
              <w:t xml:space="preserve">Work with SFPUC </w:t>
            </w:r>
            <w:r>
              <w:rPr>
                <w:rFonts w:asciiTheme="majorHAnsi" w:hAnsiTheme="majorHAnsi"/>
              </w:rPr>
              <w:t>P</w:t>
            </w:r>
            <w:r w:rsidRPr="00104C4F">
              <w:rPr>
                <w:rFonts w:asciiTheme="majorHAnsi" w:hAnsiTheme="majorHAnsi"/>
              </w:rPr>
              <w:t>ower</w:t>
            </w:r>
            <w:r>
              <w:rPr>
                <w:rFonts w:asciiTheme="majorHAnsi" w:hAnsiTheme="majorHAnsi"/>
              </w:rPr>
              <w:t xml:space="preserve"> Enterprise staff (e.g. Renewables group, Energy Efficiency group, Redevelopment</w:t>
            </w:r>
            <w:r w:rsidR="00E564D0">
              <w:rPr>
                <w:rFonts w:asciiTheme="majorHAnsi" w:hAnsiTheme="majorHAnsi"/>
              </w:rPr>
              <w:t>) to identify</w:t>
            </w:r>
            <w:r w:rsidRPr="00104C4F">
              <w:rPr>
                <w:rFonts w:asciiTheme="majorHAnsi" w:hAnsiTheme="majorHAnsi"/>
              </w:rPr>
              <w:t xml:space="preserve"> potential sites for build out</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2D08" w:rsidRPr="00104C4F" w:rsidRDefault="00E564D0" w:rsidP="0086749C">
            <w:pPr>
              <w:spacing w:line="288" w:lineRule="auto"/>
              <w:rPr>
                <w:rFonts w:asciiTheme="majorHAnsi" w:hAnsiTheme="majorHAnsi" w:cs="Calibri"/>
              </w:rPr>
            </w:pPr>
            <w:r>
              <w:rPr>
                <w:rFonts w:asciiTheme="majorHAnsi" w:hAnsiTheme="majorHAnsi"/>
              </w:rPr>
              <w:t>Ongoing</w:t>
            </w:r>
          </w:p>
        </w:tc>
      </w:tr>
      <w:tr w:rsidR="00E564D0" w:rsidRPr="00104C4F" w:rsidTr="0086749C">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64D0" w:rsidRPr="00104C4F" w:rsidRDefault="00E564D0" w:rsidP="0086749C">
            <w:pPr>
              <w:spacing w:line="288" w:lineRule="auto"/>
              <w:rPr>
                <w:rFonts w:asciiTheme="majorHAnsi" w:hAnsiTheme="majorHAnsi"/>
              </w:rPr>
            </w:pPr>
            <w:r>
              <w:rPr>
                <w:rFonts w:asciiTheme="majorHAnsi" w:hAnsiTheme="majorHAnsi"/>
              </w:rPr>
              <w:t>Evaluate potential for CPSF to invest in small hydro at University Mound</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tcPr>
          <w:p w:rsidR="00E564D0" w:rsidRDefault="00E564D0" w:rsidP="0086749C">
            <w:pPr>
              <w:spacing w:line="288" w:lineRule="auto"/>
              <w:rPr>
                <w:rFonts w:asciiTheme="majorHAnsi" w:hAnsiTheme="majorHAnsi"/>
              </w:rPr>
            </w:pPr>
            <w:r>
              <w:rPr>
                <w:rFonts w:asciiTheme="majorHAnsi" w:hAnsiTheme="majorHAnsi"/>
              </w:rPr>
              <w:t>Ongoing</w:t>
            </w:r>
          </w:p>
        </w:tc>
      </w:tr>
      <w:tr w:rsidR="00DE2D08" w:rsidRPr="00104C4F" w:rsidTr="0086749C">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2D08" w:rsidRPr="00104C4F" w:rsidRDefault="00DE2D08" w:rsidP="0086749C">
            <w:pPr>
              <w:spacing w:line="288" w:lineRule="auto"/>
              <w:rPr>
                <w:rFonts w:asciiTheme="majorHAnsi" w:hAnsiTheme="majorHAnsi" w:cs="Calibri"/>
              </w:rPr>
            </w:pPr>
            <w:r w:rsidRPr="00104C4F">
              <w:rPr>
                <w:rFonts w:asciiTheme="majorHAnsi" w:hAnsiTheme="majorHAnsi"/>
              </w:rPr>
              <w:t xml:space="preserve">Develop an RFP for a solar project in Sunol that would be cost-effective </w:t>
            </w:r>
            <w:r w:rsidR="00E564D0">
              <w:rPr>
                <w:rFonts w:asciiTheme="majorHAnsi" w:hAnsiTheme="majorHAnsi"/>
              </w:rPr>
              <w:t>for</w:t>
            </w:r>
            <w:r w:rsidRPr="00104C4F">
              <w:rPr>
                <w:rFonts w:asciiTheme="majorHAnsi" w:hAnsiTheme="majorHAnsi"/>
              </w:rPr>
              <w:t xml:space="preserve"> CPSF customers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2D08" w:rsidRPr="00104C4F" w:rsidRDefault="00E564D0" w:rsidP="0086749C">
            <w:pPr>
              <w:spacing w:line="288" w:lineRule="auto"/>
              <w:rPr>
                <w:rFonts w:asciiTheme="majorHAnsi" w:hAnsiTheme="majorHAnsi" w:cs="Calibri"/>
              </w:rPr>
            </w:pPr>
            <w:r>
              <w:rPr>
                <w:rFonts w:asciiTheme="majorHAnsi" w:hAnsiTheme="majorHAnsi"/>
                <w:bCs/>
              </w:rPr>
              <w:t>Immediately after approval of not-to-exceed rates</w:t>
            </w:r>
          </w:p>
        </w:tc>
      </w:tr>
      <w:tr w:rsidR="00DE2D08" w:rsidRPr="00104C4F" w:rsidTr="0086749C">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2D08" w:rsidRPr="00104C4F" w:rsidRDefault="00DE2D08" w:rsidP="00073EA4">
            <w:pPr>
              <w:spacing w:line="288" w:lineRule="auto"/>
              <w:rPr>
                <w:rFonts w:asciiTheme="majorHAnsi" w:hAnsiTheme="majorHAnsi" w:cs="Calibri"/>
              </w:rPr>
            </w:pPr>
            <w:r w:rsidRPr="00104C4F">
              <w:rPr>
                <w:rFonts w:asciiTheme="majorHAnsi" w:hAnsiTheme="majorHAnsi"/>
              </w:rPr>
              <w:t xml:space="preserve">Investigate prospects for </w:t>
            </w:r>
            <w:r w:rsidR="00073EA4">
              <w:rPr>
                <w:rFonts w:asciiTheme="majorHAnsi" w:hAnsiTheme="majorHAnsi"/>
              </w:rPr>
              <w:t>petitionin</w:t>
            </w:r>
            <w:r w:rsidR="00E564D0">
              <w:rPr>
                <w:rFonts w:asciiTheme="majorHAnsi" w:hAnsiTheme="majorHAnsi"/>
              </w:rPr>
              <w:t>g</w:t>
            </w:r>
            <w:r w:rsidR="00E564D0" w:rsidRPr="00104C4F">
              <w:rPr>
                <w:rFonts w:asciiTheme="majorHAnsi" w:hAnsiTheme="majorHAnsi"/>
              </w:rPr>
              <w:t xml:space="preserve"> </w:t>
            </w:r>
            <w:r w:rsidRPr="00104C4F">
              <w:rPr>
                <w:rFonts w:asciiTheme="majorHAnsi" w:hAnsiTheme="majorHAnsi"/>
              </w:rPr>
              <w:t>the CPUC to change the ratemaking policy that requires CCA customers to pay for transmission services they don’t use</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2D08" w:rsidRPr="00104C4F" w:rsidRDefault="00E564D0" w:rsidP="0086749C">
            <w:pPr>
              <w:spacing w:line="288" w:lineRule="auto"/>
              <w:rPr>
                <w:rFonts w:asciiTheme="majorHAnsi" w:hAnsiTheme="majorHAnsi" w:cs="Calibri"/>
              </w:rPr>
            </w:pPr>
            <w:r>
              <w:rPr>
                <w:rFonts w:asciiTheme="majorHAnsi" w:hAnsiTheme="majorHAnsi"/>
              </w:rPr>
              <w:t>Year 1</w:t>
            </w:r>
          </w:p>
        </w:tc>
      </w:tr>
    </w:tbl>
    <w:p w:rsidR="004D13EA" w:rsidRPr="00104C4F" w:rsidRDefault="004D13EA" w:rsidP="004D13EA">
      <w:pPr>
        <w:spacing w:line="288" w:lineRule="auto"/>
        <w:rPr>
          <w:rFonts w:asciiTheme="majorHAnsi" w:hAnsiTheme="majorHAnsi"/>
          <w:b/>
          <w:i/>
        </w:rPr>
      </w:pPr>
    </w:p>
    <w:p w:rsidR="006741D1" w:rsidRPr="00BF7139" w:rsidRDefault="006741D1" w:rsidP="00F30EC4">
      <w:pPr>
        <w:spacing w:line="288" w:lineRule="auto"/>
        <w:ind w:firstLine="720"/>
        <w:rPr>
          <w:rFonts w:asciiTheme="majorHAnsi" w:hAnsiTheme="majorHAnsi"/>
          <w:b/>
          <w:u w:val="single"/>
        </w:rPr>
      </w:pPr>
      <w:r w:rsidRPr="006F228D">
        <w:rPr>
          <w:rFonts w:asciiTheme="majorHAnsi" w:hAnsiTheme="majorHAnsi"/>
          <w:b/>
          <w:u w:val="single"/>
        </w:rPr>
        <w:t>BEHIND THE METER (BTM) RESOURCES</w:t>
      </w:r>
    </w:p>
    <w:p w:rsidR="004D13EA" w:rsidRPr="006741D1" w:rsidRDefault="004D13EA" w:rsidP="006741D1">
      <w:pPr>
        <w:spacing w:line="288" w:lineRule="auto"/>
        <w:rPr>
          <w:rFonts w:asciiTheme="majorHAnsi" w:hAnsiTheme="majorHAnsi"/>
        </w:rPr>
      </w:pPr>
      <w:r w:rsidRPr="006741D1">
        <w:rPr>
          <w:rFonts w:asciiTheme="majorHAnsi" w:hAnsiTheme="majorHAnsi"/>
        </w:rPr>
        <w:t>“</w:t>
      </w:r>
      <w:r w:rsidR="006741D1">
        <w:rPr>
          <w:rFonts w:asciiTheme="majorHAnsi" w:hAnsiTheme="majorHAnsi"/>
        </w:rPr>
        <w:t>B</w:t>
      </w:r>
      <w:r w:rsidRPr="006741D1">
        <w:rPr>
          <w:rFonts w:asciiTheme="majorHAnsi" w:hAnsiTheme="majorHAnsi"/>
        </w:rPr>
        <w:t xml:space="preserve">ehind-the-meter” (BTM) facilities are </w:t>
      </w:r>
      <w:r w:rsidR="006741D1">
        <w:rPr>
          <w:rFonts w:asciiTheme="majorHAnsi" w:hAnsiTheme="majorHAnsi"/>
        </w:rPr>
        <w:t>generally located</w:t>
      </w:r>
      <w:r w:rsidRPr="006741D1">
        <w:rPr>
          <w:rFonts w:asciiTheme="majorHAnsi" w:hAnsiTheme="majorHAnsi"/>
        </w:rPr>
        <w:t xml:space="preserve"> at customer sites that provide all or a portion of the site’s electricity needs.  BTM facilities are attractive to customers because they reduce energy use and eliminate the cost of distribution and transmission on PG&amp;E bills.   Roof top solar is currently the most common type of BTM technology</w:t>
      </w:r>
      <w:r w:rsidR="006741D1">
        <w:rPr>
          <w:rFonts w:asciiTheme="majorHAnsi" w:hAnsiTheme="majorHAnsi"/>
        </w:rPr>
        <w:t>,</w:t>
      </w:r>
      <w:r w:rsidRPr="006741D1">
        <w:rPr>
          <w:rFonts w:asciiTheme="majorHAnsi" w:hAnsiTheme="majorHAnsi"/>
        </w:rPr>
        <w:t xml:space="preserve"> but </w:t>
      </w:r>
      <w:r w:rsidR="006741D1">
        <w:rPr>
          <w:rFonts w:asciiTheme="majorHAnsi" w:hAnsiTheme="majorHAnsi"/>
        </w:rPr>
        <w:t xml:space="preserve">emerging </w:t>
      </w:r>
      <w:r w:rsidRPr="006741D1">
        <w:rPr>
          <w:rFonts w:asciiTheme="majorHAnsi" w:hAnsiTheme="majorHAnsi"/>
        </w:rPr>
        <w:t>new and improved technologies could</w:t>
      </w:r>
      <w:r w:rsidR="006741D1">
        <w:rPr>
          <w:rFonts w:asciiTheme="majorHAnsi" w:hAnsiTheme="majorHAnsi"/>
        </w:rPr>
        <w:t xml:space="preserve"> also</w:t>
      </w:r>
      <w:r w:rsidRPr="006741D1">
        <w:rPr>
          <w:rFonts w:asciiTheme="majorHAnsi" w:hAnsiTheme="majorHAnsi"/>
        </w:rPr>
        <w:t xml:space="preserve"> reduce energy </w:t>
      </w:r>
      <w:r w:rsidR="006741D1">
        <w:rPr>
          <w:rFonts w:asciiTheme="majorHAnsi" w:hAnsiTheme="majorHAnsi"/>
        </w:rPr>
        <w:t xml:space="preserve">or peak </w:t>
      </w:r>
      <w:r w:rsidRPr="006741D1">
        <w:rPr>
          <w:rFonts w:asciiTheme="majorHAnsi" w:hAnsiTheme="majorHAnsi"/>
        </w:rPr>
        <w:t xml:space="preserve">demand, and potentially provide excess energy to CPSF.  </w:t>
      </w:r>
    </w:p>
    <w:p w:rsidR="004D13EA" w:rsidRPr="00104C4F" w:rsidRDefault="004D13EA" w:rsidP="004D13EA">
      <w:pPr>
        <w:spacing w:line="288" w:lineRule="auto"/>
        <w:rPr>
          <w:rFonts w:asciiTheme="majorHAnsi" w:hAnsiTheme="majorHAnsi"/>
        </w:rPr>
      </w:pPr>
    </w:p>
    <w:p w:rsidR="004D13EA" w:rsidRPr="00104C4F" w:rsidRDefault="004D13EA" w:rsidP="006F228D">
      <w:pPr>
        <w:spacing w:line="288" w:lineRule="auto"/>
        <w:rPr>
          <w:rFonts w:asciiTheme="majorHAnsi" w:hAnsiTheme="majorHAnsi"/>
        </w:rPr>
      </w:pPr>
      <w:r w:rsidRPr="00104C4F">
        <w:rPr>
          <w:rFonts w:asciiTheme="majorHAnsi" w:hAnsiTheme="majorHAnsi"/>
        </w:rPr>
        <w:t xml:space="preserve">One consideration in emphasizing BTM investments by CPSF is that they </w:t>
      </w:r>
      <w:r w:rsidR="006F228D">
        <w:rPr>
          <w:rFonts w:asciiTheme="majorHAnsi" w:hAnsiTheme="majorHAnsi"/>
        </w:rPr>
        <w:t xml:space="preserve">are </w:t>
      </w:r>
      <w:r w:rsidRPr="00104C4F">
        <w:rPr>
          <w:rFonts w:asciiTheme="majorHAnsi" w:hAnsiTheme="majorHAnsi"/>
        </w:rPr>
        <w:t xml:space="preserve">not </w:t>
      </w:r>
      <w:r w:rsidR="006F228D">
        <w:rPr>
          <w:rFonts w:asciiTheme="majorHAnsi" w:hAnsiTheme="majorHAnsi"/>
        </w:rPr>
        <w:t xml:space="preserve">likely to </w:t>
      </w:r>
      <w:r w:rsidRPr="00104C4F">
        <w:rPr>
          <w:rFonts w:asciiTheme="majorHAnsi" w:hAnsiTheme="majorHAnsi"/>
        </w:rPr>
        <w:t xml:space="preserve">bring in revenue.  Like energy efficiency improvements, they are potentially low cost investments </w:t>
      </w:r>
      <w:r w:rsidR="006F228D">
        <w:rPr>
          <w:rFonts w:asciiTheme="majorHAnsi" w:hAnsiTheme="majorHAnsi"/>
        </w:rPr>
        <w:t>to</w:t>
      </w:r>
      <w:r w:rsidRPr="00104C4F">
        <w:rPr>
          <w:rFonts w:asciiTheme="majorHAnsi" w:hAnsiTheme="majorHAnsi"/>
        </w:rPr>
        <w:t xml:space="preserve"> reduc</w:t>
      </w:r>
      <w:r w:rsidR="006F228D">
        <w:rPr>
          <w:rFonts w:asciiTheme="majorHAnsi" w:hAnsiTheme="majorHAnsi"/>
        </w:rPr>
        <w:t>e</w:t>
      </w:r>
      <w:r w:rsidRPr="00104C4F">
        <w:rPr>
          <w:rFonts w:asciiTheme="majorHAnsi" w:hAnsiTheme="majorHAnsi"/>
        </w:rPr>
        <w:t xml:space="preserve"> demand, which will provide opportunities for increasing CPSF’s customer base in other parts of the City</w:t>
      </w:r>
      <w:r w:rsidR="006F228D">
        <w:rPr>
          <w:rFonts w:asciiTheme="majorHAnsi" w:hAnsiTheme="majorHAnsi"/>
        </w:rPr>
        <w:t>,</w:t>
      </w:r>
      <w:r w:rsidRPr="00104C4F">
        <w:rPr>
          <w:rFonts w:asciiTheme="majorHAnsi" w:hAnsiTheme="majorHAnsi"/>
        </w:rPr>
        <w:t xml:space="preserve"> while serving </w:t>
      </w:r>
      <w:r w:rsidR="006F228D">
        <w:rPr>
          <w:rFonts w:asciiTheme="majorHAnsi" w:hAnsiTheme="majorHAnsi"/>
        </w:rPr>
        <w:t>multiple</w:t>
      </w:r>
      <w:r w:rsidRPr="00104C4F">
        <w:rPr>
          <w:rFonts w:asciiTheme="majorHAnsi" w:hAnsiTheme="majorHAnsi"/>
        </w:rPr>
        <w:t xml:space="preserve"> other public policy goals, such as reducing </w:t>
      </w:r>
      <w:r w:rsidR="006F228D">
        <w:rPr>
          <w:rFonts w:asciiTheme="majorHAnsi" w:hAnsiTheme="majorHAnsi"/>
        </w:rPr>
        <w:t xml:space="preserve">GHG </w:t>
      </w:r>
      <w:r w:rsidRPr="00104C4F">
        <w:rPr>
          <w:rFonts w:asciiTheme="majorHAnsi" w:hAnsiTheme="majorHAnsi"/>
        </w:rPr>
        <w:t xml:space="preserve">emissions, </w:t>
      </w:r>
      <w:r w:rsidR="006F228D">
        <w:rPr>
          <w:rFonts w:asciiTheme="majorHAnsi" w:hAnsiTheme="majorHAnsi"/>
        </w:rPr>
        <w:t>advancing</w:t>
      </w:r>
      <w:r w:rsidRPr="00104C4F">
        <w:rPr>
          <w:rFonts w:asciiTheme="majorHAnsi" w:hAnsiTheme="majorHAnsi"/>
        </w:rPr>
        <w:t xml:space="preserve"> local </w:t>
      </w:r>
      <w:r w:rsidR="006F228D">
        <w:rPr>
          <w:rFonts w:asciiTheme="majorHAnsi" w:hAnsiTheme="majorHAnsi"/>
        </w:rPr>
        <w:t>workforce development</w:t>
      </w:r>
      <w:r w:rsidRPr="00104C4F">
        <w:rPr>
          <w:rFonts w:asciiTheme="majorHAnsi" w:hAnsiTheme="majorHAnsi"/>
        </w:rPr>
        <w:t xml:space="preserve"> and reducing the City’s reliance on market purchases.  In addition, support for BTM projects may induce local residents and businesses to </w:t>
      </w:r>
      <w:r w:rsidR="006F228D">
        <w:rPr>
          <w:rFonts w:asciiTheme="majorHAnsi" w:hAnsiTheme="majorHAnsi"/>
        </w:rPr>
        <w:t>participate in CPSF as</w:t>
      </w:r>
      <w:r w:rsidRPr="00104C4F">
        <w:rPr>
          <w:rFonts w:asciiTheme="majorHAnsi" w:hAnsiTheme="majorHAnsi"/>
        </w:rPr>
        <w:t xml:space="preserve"> BTM projects can </w:t>
      </w:r>
      <w:r w:rsidR="006F228D">
        <w:rPr>
          <w:rFonts w:asciiTheme="majorHAnsi" w:hAnsiTheme="majorHAnsi"/>
        </w:rPr>
        <w:t xml:space="preserve">also </w:t>
      </w:r>
      <w:r w:rsidRPr="00104C4F">
        <w:rPr>
          <w:rFonts w:asciiTheme="majorHAnsi" w:hAnsiTheme="majorHAnsi"/>
        </w:rPr>
        <w:t xml:space="preserve">substantially </w:t>
      </w:r>
      <w:r w:rsidR="006F228D">
        <w:rPr>
          <w:rFonts w:asciiTheme="majorHAnsi" w:hAnsiTheme="majorHAnsi"/>
        </w:rPr>
        <w:t>lower</w:t>
      </w:r>
      <w:r w:rsidRPr="00104C4F">
        <w:rPr>
          <w:rFonts w:asciiTheme="majorHAnsi" w:hAnsiTheme="majorHAnsi"/>
        </w:rPr>
        <w:t xml:space="preserve"> customer bills</w:t>
      </w:r>
      <w:r w:rsidR="006F228D">
        <w:rPr>
          <w:rFonts w:asciiTheme="majorHAnsi" w:hAnsiTheme="majorHAnsi"/>
        </w:rPr>
        <w:t>,</w:t>
      </w:r>
      <w:r w:rsidRPr="00104C4F">
        <w:rPr>
          <w:rFonts w:asciiTheme="majorHAnsi" w:hAnsiTheme="majorHAnsi"/>
        </w:rPr>
        <w:t xml:space="preserve"> even if CPSF’s rates are higher than PG&amp;E’s.</w:t>
      </w:r>
    </w:p>
    <w:p w:rsidR="004D13EA" w:rsidRPr="00104C4F" w:rsidRDefault="004D13EA" w:rsidP="004D13EA">
      <w:pPr>
        <w:spacing w:line="288" w:lineRule="auto"/>
        <w:ind w:left="360"/>
        <w:rPr>
          <w:rFonts w:asciiTheme="majorHAnsi" w:hAnsiTheme="majorHAnsi"/>
        </w:rPr>
      </w:pPr>
    </w:p>
    <w:p w:rsidR="004D13EA" w:rsidRPr="00104C4F" w:rsidRDefault="004D13EA" w:rsidP="006F228D">
      <w:pPr>
        <w:spacing w:line="288" w:lineRule="auto"/>
        <w:rPr>
          <w:rFonts w:asciiTheme="majorHAnsi" w:hAnsiTheme="majorHAnsi"/>
        </w:rPr>
      </w:pPr>
      <w:r w:rsidRPr="00104C4F">
        <w:rPr>
          <w:rFonts w:asciiTheme="majorHAnsi" w:hAnsiTheme="majorHAnsi"/>
        </w:rPr>
        <w:t>The SFPUC</w:t>
      </w:r>
      <w:r w:rsidR="006F228D">
        <w:rPr>
          <w:rFonts w:asciiTheme="majorHAnsi" w:hAnsiTheme="majorHAnsi"/>
        </w:rPr>
        <w:t>’s popular GoSolarSF program</w:t>
      </w:r>
      <w:r w:rsidRPr="00104C4F">
        <w:rPr>
          <w:rFonts w:asciiTheme="majorHAnsi" w:hAnsiTheme="majorHAnsi"/>
        </w:rPr>
        <w:t xml:space="preserve"> promotes investments in distributed solar projects</w:t>
      </w:r>
      <w:r w:rsidR="006F228D">
        <w:rPr>
          <w:rFonts w:asciiTheme="majorHAnsi" w:hAnsiTheme="majorHAnsi"/>
        </w:rPr>
        <w:t xml:space="preserve"> and has created over 6 MW of installed capacity to date</w:t>
      </w:r>
      <w:r w:rsidRPr="00104C4F">
        <w:rPr>
          <w:rFonts w:asciiTheme="majorHAnsi" w:hAnsiTheme="majorHAnsi"/>
        </w:rPr>
        <w:t xml:space="preserve">. GoSolarSF has </w:t>
      </w:r>
      <w:r w:rsidR="006F228D">
        <w:rPr>
          <w:rFonts w:asciiTheme="majorHAnsi" w:hAnsiTheme="majorHAnsi"/>
        </w:rPr>
        <w:t>provided</w:t>
      </w:r>
      <w:r w:rsidR="006F228D" w:rsidRPr="00104C4F">
        <w:rPr>
          <w:rFonts w:asciiTheme="majorHAnsi" w:hAnsiTheme="majorHAnsi"/>
        </w:rPr>
        <w:t xml:space="preserve"> </w:t>
      </w:r>
      <w:r w:rsidRPr="00104C4F">
        <w:rPr>
          <w:rFonts w:asciiTheme="majorHAnsi" w:hAnsiTheme="majorHAnsi"/>
        </w:rPr>
        <w:t>incentive payments to residents</w:t>
      </w:r>
      <w:r w:rsidR="006F228D">
        <w:rPr>
          <w:rFonts w:asciiTheme="majorHAnsi" w:hAnsiTheme="majorHAnsi"/>
        </w:rPr>
        <w:t>, businesses, and non-profits</w:t>
      </w:r>
      <w:r w:rsidRPr="00104C4F">
        <w:rPr>
          <w:rFonts w:asciiTheme="majorHAnsi" w:hAnsiTheme="majorHAnsi"/>
        </w:rPr>
        <w:t xml:space="preserve"> </w:t>
      </w:r>
      <w:r w:rsidR="006F228D">
        <w:rPr>
          <w:rFonts w:asciiTheme="majorHAnsi" w:hAnsiTheme="majorHAnsi"/>
        </w:rPr>
        <w:t>that</w:t>
      </w:r>
      <w:r w:rsidRPr="00104C4F">
        <w:rPr>
          <w:rFonts w:asciiTheme="majorHAnsi" w:hAnsiTheme="majorHAnsi"/>
        </w:rPr>
        <w:t xml:space="preserve"> install solar panel</w:t>
      </w:r>
      <w:r w:rsidR="006F228D">
        <w:rPr>
          <w:rFonts w:asciiTheme="majorHAnsi" w:hAnsiTheme="majorHAnsi"/>
        </w:rPr>
        <w:t>s</w:t>
      </w:r>
      <w:r w:rsidRPr="00104C4F">
        <w:rPr>
          <w:rFonts w:asciiTheme="majorHAnsi" w:hAnsiTheme="majorHAnsi"/>
        </w:rPr>
        <w:t xml:space="preserve"> at their </w:t>
      </w:r>
      <w:r w:rsidR="006F228D">
        <w:rPr>
          <w:rFonts w:asciiTheme="majorHAnsi" w:hAnsiTheme="majorHAnsi"/>
        </w:rPr>
        <w:t>properties</w:t>
      </w:r>
      <w:r w:rsidRPr="00104C4F">
        <w:rPr>
          <w:rFonts w:asciiTheme="majorHAnsi" w:hAnsiTheme="majorHAnsi"/>
        </w:rPr>
        <w:t xml:space="preserve">. The </w:t>
      </w:r>
      <w:r w:rsidR="006F228D">
        <w:rPr>
          <w:rFonts w:asciiTheme="majorHAnsi" w:hAnsiTheme="majorHAnsi"/>
        </w:rPr>
        <w:t>City has</w:t>
      </w:r>
      <w:r w:rsidRPr="00104C4F">
        <w:rPr>
          <w:rFonts w:asciiTheme="majorHAnsi" w:hAnsiTheme="majorHAnsi"/>
        </w:rPr>
        <w:t xml:space="preserve"> allocated $2 million </w:t>
      </w:r>
      <w:r w:rsidR="008968F8">
        <w:rPr>
          <w:rFonts w:asciiTheme="majorHAnsi" w:hAnsiTheme="majorHAnsi"/>
        </w:rPr>
        <w:t xml:space="preserve">in GoSolarSF incentives </w:t>
      </w:r>
      <w:r w:rsidRPr="00104C4F">
        <w:rPr>
          <w:rFonts w:asciiTheme="majorHAnsi" w:hAnsiTheme="majorHAnsi"/>
        </w:rPr>
        <w:t xml:space="preserve">to support solar installations </w:t>
      </w:r>
      <w:r w:rsidR="008968F8">
        <w:rPr>
          <w:rFonts w:asciiTheme="majorHAnsi" w:hAnsiTheme="majorHAnsi"/>
        </w:rPr>
        <w:t>for</w:t>
      </w:r>
      <w:r w:rsidRPr="00104C4F">
        <w:rPr>
          <w:rFonts w:asciiTheme="majorHAnsi" w:hAnsiTheme="majorHAnsi"/>
        </w:rPr>
        <w:t xml:space="preserve"> low</w:t>
      </w:r>
      <w:r w:rsidR="008968F8">
        <w:rPr>
          <w:rFonts w:asciiTheme="majorHAnsi" w:hAnsiTheme="majorHAnsi"/>
        </w:rPr>
        <w:t>-</w:t>
      </w:r>
      <w:r w:rsidRPr="00104C4F">
        <w:rPr>
          <w:rFonts w:asciiTheme="majorHAnsi" w:hAnsiTheme="majorHAnsi"/>
        </w:rPr>
        <w:t>income customers of CPSF.</w:t>
      </w:r>
    </w:p>
    <w:p w:rsidR="004D13EA" w:rsidRPr="00104C4F" w:rsidRDefault="004D13EA" w:rsidP="004D13EA">
      <w:pPr>
        <w:spacing w:line="288" w:lineRule="auto"/>
        <w:ind w:left="360"/>
        <w:rPr>
          <w:rFonts w:asciiTheme="majorHAnsi" w:hAnsiTheme="majorHAnsi"/>
        </w:rPr>
      </w:pPr>
    </w:p>
    <w:p w:rsidR="006F228D" w:rsidRDefault="00F954BD" w:rsidP="006F228D">
      <w:pPr>
        <w:spacing w:line="288" w:lineRule="auto"/>
        <w:rPr>
          <w:rFonts w:asciiTheme="majorHAnsi" w:hAnsiTheme="majorHAnsi"/>
          <w:b/>
          <w:i/>
        </w:rPr>
      </w:pPr>
      <w:r>
        <w:rPr>
          <w:rFonts w:asciiTheme="majorHAnsi" w:hAnsiTheme="majorHAnsi"/>
          <w:b/>
          <w:i/>
        </w:rPr>
        <w:t>Potential Concerns:</w:t>
      </w:r>
    </w:p>
    <w:p w:rsidR="006F228D" w:rsidRPr="006F228D" w:rsidRDefault="004D13EA" w:rsidP="006F228D">
      <w:pPr>
        <w:pStyle w:val="ListParagraph"/>
        <w:numPr>
          <w:ilvl w:val="0"/>
          <w:numId w:val="31"/>
        </w:numPr>
        <w:spacing w:line="288" w:lineRule="auto"/>
        <w:rPr>
          <w:rFonts w:asciiTheme="majorHAnsi" w:hAnsiTheme="majorHAnsi"/>
          <w:b/>
          <w:i/>
        </w:rPr>
      </w:pPr>
      <w:r w:rsidRPr="006F228D">
        <w:rPr>
          <w:rFonts w:asciiTheme="majorHAnsi" w:hAnsiTheme="majorHAnsi"/>
        </w:rPr>
        <w:t>The priority of BTM projects relative to those that produce energy dedicated to CPSF;</w:t>
      </w:r>
    </w:p>
    <w:p w:rsidR="006F228D" w:rsidRPr="006F228D" w:rsidRDefault="004D13EA" w:rsidP="006F228D">
      <w:pPr>
        <w:pStyle w:val="ListParagraph"/>
        <w:numPr>
          <w:ilvl w:val="0"/>
          <w:numId w:val="31"/>
        </w:numPr>
        <w:spacing w:line="288" w:lineRule="auto"/>
        <w:rPr>
          <w:rFonts w:asciiTheme="majorHAnsi" w:hAnsiTheme="majorHAnsi"/>
          <w:b/>
          <w:i/>
        </w:rPr>
      </w:pPr>
      <w:r w:rsidRPr="006F228D">
        <w:rPr>
          <w:rFonts w:asciiTheme="majorHAnsi" w:hAnsiTheme="majorHAnsi"/>
        </w:rPr>
        <w:t xml:space="preserve">The prospects </w:t>
      </w:r>
      <w:r w:rsidR="00F954BD">
        <w:rPr>
          <w:rFonts w:asciiTheme="majorHAnsi" w:hAnsiTheme="majorHAnsi"/>
        </w:rPr>
        <w:t>of leveraging</w:t>
      </w:r>
      <w:r w:rsidRPr="006F228D">
        <w:rPr>
          <w:rFonts w:asciiTheme="majorHAnsi" w:hAnsiTheme="majorHAnsi"/>
        </w:rPr>
        <w:t xml:space="preserve"> bond funds to support BTM projects at customer sites;</w:t>
      </w:r>
    </w:p>
    <w:p w:rsidR="006F228D" w:rsidRPr="006F228D" w:rsidRDefault="004D13EA" w:rsidP="006F228D">
      <w:pPr>
        <w:pStyle w:val="ListParagraph"/>
        <w:numPr>
          <w:ilvl w:val="0"/>
          <w:numId w:val="31"/>
        </w:numPr>
        <w:spacing w:line="288" w:lineRule="auto"/>
        <w:rPr>
          <w:rFonts w:asciiTheme="majorHAnsi" w:hAnsiTheme="majorHAnsi"/>
          <w:b/>
          <w:i/>
        </w:rPr>
      </w:pPr>
      <w:r w:rsidRPr="006F228D">
        <w:rPr>
          <w:rFonts w:asciiTheme="majorHAnsi" w:hAnsiTheme="majorHAnsi"/>
        </w:rPr>
        <w:t>The viability of using BTM project subsidies as a way to attract new CPSF customers</w:t>
      </w:r>
      <w:r w:rsidR="00F30EC4">
        <w:rPr>
          <w:rFonts w:asciiTheme="majorHAnsi" w:hAnsiTheme="majorHAnsi"/>
        </w:rPr>
        <w:t>;</w:t>
      </w:r>
    </w:p>
    <w:p w:rsidR="006F228D" w:rsidRPr="006F228D" w:rsidRDefault="004D13EA" w:rsidP="006F228D">
      <w:pPr>
        <w:pStyle w:val="ListParagraph"/>
        <w:numPr>
          <w:ilvl w:val="0"/>
          <w:numId w:val="31"/>
        </w:numPr>
        <w:spacing w:line="288" w:lineRule="auto"/>
        <w:rPr>
          <w:rFonts w:asciiTheme="majorHAnsi" w:hAnsiTheme="majorHAnsi"/>
          <w:b/>
          <w:i/>
        </w:rPr>
      </w:pPr>
      <w:r w:rsidRPr="006F228D">
        <w:rPr>
          <w:rFonts w:asciiTheme="majorHAnsi" w:hAnsiTheme="majorHAnsi"/>
        </w:rPr>
        <w:t>The best way to allocate CPSF funds dedicated to GoSolar</w:t>
      </w:r>
      <w:r w:rsidR="00F954BD">
        <w:rPr>
          <w:rFonts w:asciiTheme="majorHAnsi" w:hAnsiTheme="majorHAnsi"/>
        </w:rPr>
        <w:t>SF</w:t>
      </w:r>
      <w:r w:rsidRPr="006F228D">
        <w:rPr>
          <w:rFonts w:asciiTheme="majorHAnsi" w:hAnsiTheme="majorHAnsi"/>
        </w:rPr>
        <w:t xml:space="preserve"> projects at low income properties</w:t>
      </w:r>
      <w:r w:rsidR="00F954BD">
        <w:rPr>
          <w:rFonts w:asciiTheme="majorHAnsi" w:hAnsiTheme="majorHAnsi"/>
        </w:rPr>
        <w:t>.</w:t>
      </w:r>
    </w:p>
    <w:p w:rsidR="006F228D" w:rsidRPr="006F228D" w:rsidRDefault="006F228D" w:rsidP="006F228D">
      <w:pPr>
        <w:pStyle w:val="ListParagraph"/>
        <w:spacing w:line="288" w:lineRule="auto"/>
        <w:rPr>
          <w:rFonts w:asciiTheme="majorHAnsi" w:hAnsiTheme="majorHAnsi"/>
          <w:b/>
          <w:i/>
        </w:rPr>
      </w:pPr>
    </w:p>
    <w:p w:rsidR="006F228D" w:rsidRDefault="004D13EA" w:rsidP="006F228D">
      <w:pPr>
        <w:spacing w:line="288" w:lineRule="auto"/>
        <w:rPr>
          <w:rFonts w:asciiTheme="majorHAnsi" w:hAnsiTheme="majorHAnsi"/>
        </w:rPr>
      </w:pPr>
      <w:r w:rsidRPr="00BF7139">
        <w:rPr>
          <w:rFonts w:asciiTheme="majorHAnsi" w:hAnsiTheme="majorHAnsi"/>
          <w:b/>
          <w:i/>
          <w:u w:val="single"/>
        </w:rPr>
        <w:t>STRATEGY #</w:t>
      </w:r>
      <w:r w:rsidR="00F954BD">
        <w:rPr>
          <w:rFonts w:asciiTheme="majorHAnsi" w:hAnsiTheme="majorHAnsi"/>
          <w:b/>
          <w:i/>
          <w:u w:val="single"/>
        </w:rPr>
        <w:t>6</w:t>
      </w:r>
      <w:r w:rsidRPr="00BF7139">
        <w:rPr>
          <w:rFonts w:asciiTheme="majorHAnsi" w:hAnsiTheme="majorHAnsi"/>
          <w:b/>
          <w:i/>
          <w:u w:val="single"/>
        </w:rPr>
        <w:t>:</w:t>
      </w:r>
      <w:r w:rsidRPr="006F228D">
        <w:rPr>
          <w:rFonts w:asciiTheme="majorHAnsi" w:hAnsiTheme="majorHAnsi"/>
          <w:b/>
          <w:i/>
        </w:rPr>
        <w:t xml:space="preserve">  CPSF</w:t>
      </w:r>
      <w:r w:rsidR="006176CA">
        <w:rPr>
          <w:rFonts w:asciiTheme="majorHAnsi" w:hAnsiTheme="majorHAnsi"/>
          <w:b/>
          <w:i/>
        </w:rPr>
        <w:t xml:space="preserve"> </w:t>
      </w:r>
      <w:r w:rsidR="002007B3">
        <w:rPr>
          <w:rFonts w:asciiTheme="majorHAnsi" w:hAnsiTheme="majorHAnsi"/>
          <w:b/>
          <w:i/>
        </w:rPr>
        <w:t>will support i</w:t>
      </w:r>
      <w:r w:rsidRPr="006F228D">
        <w:rPr>
          <w:rFonts w:asciiTheme="majorHAnsi" w:hAnsiTheme="majorHAnsi"/>
          <w:b/>
          <w:i/>
        </w:rPr>
        <w:t>nstallation of behind-the-meter renewable installations as resources permit</w:t>
      </w:r>
      <w:r w:rsidR="00F954BD">
        <w:rPr>
          <w:rFonts w:asciiTheme="majorHAnsi" w:hAnsiTheme="majorHAnsi"/>
          <w:b/>
          <w:i/>
        </w:rPr>
        <w:t>,</w:t>
      </w:r>
      <w:r w:rsidRPr="006F228D">
        <w:rPr>
          <w:rFonts w:asciiTheme="majorHAnsi" w:hAnsiTheme="majorHAnsi"/>
          <w:b/>
          <w:i/>
        </w:rPr>
        <w:t xml:space="preserve"> but will </w:t>
      </w:r>
      <w:r w:rsidR="00F954BD">
        <w:rPr>
          <w:rFonts w:asciiTheme="majorHAnsi" w:hAnsiTheme="majorHAnsi"/>
          <w:b/>
          <w:i/>
        </w:rPr>
        <w:t xml:space="preserve">initially prioritize </w:t>
      </w:r>
      <w:r w:rsidRPr="006F228D">
        <w:rPr>
          <w:rFonts w:asciiTheme="majorHAnsi" w:hAnsiTheme="majorHAnsi"/>
          <w:b/>
          <w:i/>
        </w:rPr>
        <w:t>projects that provide energy supplies to CPSF</w:t>
      </w:r>
      <w:r w:rsidRPr="006F228D">
        <w:rPr>
          <w:rFonts w:asciiTheme="majorHAnsi" w:hAnsiTheme="majorHAnsi"/>
        </w:rPr>
        <w:t xml:space="preserve">.  </w:t>
      </w:r>
    </w:p>
    <w:p w:rsidR="00F954BD" w:rsidRDefault="00F954BD" w:rsidP="006F228D">
      <w:pPr>
        <w:spacing w:line="288" w:lineRule="auto"/>
        <w:rPr>
          <w:rFonts w:asciiTheme="majorHAnsi" w:hAnsiTheme="majorHAnsi"/>
        </w:rPr>
      </w:pPr>
    </w:p>
    <w:tbl>
      <w:tblPr>
        <w:tblW w:w="0" w:type="auto"/>
        <w:tblCellMar>
          <w:left w:w="0" w:type="dxa"/>
          <w:right w:w="0" w:type="dxa"/>
        </w:tblCellMar>
        <w:tblLook w:val="04A0" w:firstRow="1" w:lastRow="0" w:firstColumn="1" w:lastColumn="0" w:noHBand="0" w:noVBand="1"/>
      </w:tblPr>
      <w:tblGrid>
        <w:gridCol w:w="6768"/>
        <w:gridCol w:w="2808"/>
      </w:tblGrid>
      <w:tr w:rsidR="00F954BD" w:rsidRPr="00104C4F" w:rsidTr="00F30EC4">
        <w:tc>
          <w:tcPr>
            <w:tcW w:w="6768" w:type="dxa"/>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F954BD" w:rsidRPr="00104C4F" w:rsidRDefault="00F954BD" w:rsidP="00F30EC4">
            <w:pPr>
              <w:spacing w:line="288" w:lineRule="auto"/>
              <w:rPr>
                <w:rFonts w:asciiTheme="majorHAnsi" w:hAnsiTheme="majorHAnsi" w:cs="Calibri"/>
                <w:b/>
                <w:bCs/>
                <w:i/>
                <w:iCs/>
              </w:rPr>
            </w:pPr>
            <w:r w:rsidRPr="00104C4F">
              <w:rPr>
                <w:rFonts w:asciiTheme="majorHAnsi" w:hAnsiTheme="majorHAnsi"/>
                <w:b/>
                <w:bCs/>
                <w:i/>
                <w:iCs/>
              </w:rPr>
              <w:t>Work Task</w:t>
            </w:r>
          </w:p>
        </w:tc>
        <w:tc>
          <w:tcPr>
            <w:tcW w:w="2808"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F954BD" w:rsidRPr="00104C4F" w:rsidRDefault="00F954BD" w:rsidP="00F30EC4">
            <w:pPr>
              <w:spacing w:line="288" w:lineRule="auto"/>
              <w:rPr>
                <w:rFonts w:asciiTheme="majorHAnsi" w:hAnsiTheme="majorHAnsi" w:cs="Calibri"/>
                <w:b/>
                <w:bCs/>
                <w:i/>
                <w:iCs/>
              </w:rPr>
            </w:pPr>
            <w:r w:rsidRPr="00104C4F">
              <w:rPr>
                <w:rFonts w:asciiTheme="majorHAnsi" w:hAnsiTheme="majorHAnsi"/>
                <w:b/>
                <w:bCs/>
                <w:i/>
                <w:iCs/>
              </w:rPr>
              <w:t>Timing</w:t>
            </w:r>
          </w:p>
        </w:tc>
      </w:tr>
      <w:tr w:rsidR="00F954BD" w:rsidRPr="00104C4F" w:rsidTr="00F30EC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54BD" w:rsidRPr="00104C4F" w:rsidRDefault="00F954BD" w:rsidP="00F30EC4">
            <w:pPr>
              <w:spacing w:line="288" w:lineRule="auto"/>
              <w:rPr>
                <w:rFonts w:asciiTheme="majorHAnsi" w:hAnsiTheme="majorHAnsi" w:cs="Calibri"/>
              </w:rPr>
            </w:pPr>
            <w:r>
              <w:rPr>
                <w:rFonts w:asciiTheme="majorHAnsi" w:hAnsiTheme="majorHAnsi"/>
              </w:rPr>
              <w:t>Analyze</w:t>
            </w:r>
            <w:r w:rsidRPr="00104C4F">
              <w:rPr>
                <w:rFonts w:asciiTheme="majorHAnsi" w:hAnsiTheme="majorHAnsi"/>
              </w:rPr>
              <w:t xml:space="preserve"> the prospects for supporting BTM projects using revenues from bonds and CPSF’s capacity for related project and program management</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4BD" w:rsidRPr="00104C4F" w:rsidRDefault="00F954BD" w:rsidP="00F30EC4">
            <w:pPr>
              <w:spacing w:line="288" w:lineRule="auto"/>
              <w:rPr>
                <w:rFonts w:asciiTheme="majorHAnsi" w:hAnsiTheme="majorHAnsi" w:cs="Calibri"/>
              </w:rPr>
            </w:pPr>
            <w:r>
              <w:rPr>
                <w:rFonts w:asciiTheme="majorHAnsi" w:hAnsiTheme="majorHAnsi"/>
              </w:rPr>
              <w:t xml:space="preserve">Planning in Year 1; project construction </w:t>
            </w:r>
            <w:r w:rsidRPr="00104C4F">
              <w:rPr>
                <w:rFonts w:asciiTheme="majorHAnsi" w:hAnsiTheme="majorHAnsi"/>
              </w:rPr>
              <w:t>beginning in year 3</w:t>
            </w:r>
          </w:p>
        </w:tc>
      </w:tr>
      <w:tr w:rsidR="00F954BD" w:rsidRPr="00104C4F" w:rsidTr="00F30EC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954BD" w:rsidRPr="00104C4F" w:rsidRDefault="00F954BD" w:rsidP="00F30EC4">
            <w:pPr>
              <w:spacing w:line="288" w:lineRule="auto"/>
              <w:rPr>
                <w:rFonts w:asciiTheme="majorHAnsi" w:hAnsiTheme="majorHAnsi"/>
              </w:rPr>
            </w:pPr>
            <w:r w:rsidRPr="00104C4F">
              <w:rPr>
                <w:rFonts w:asciiTheme="majorHAnsi" w:hAnsiTheme="majorHAnsi"/>
              </w:rPr>
              <w:t xml:space="preserve">Determine whether and how much of CPSF’s initial funding and future revenues from customer billings should be used to support BTM projects in the first </w:t>
            </w:r>
            <w:r w:rsidR="00C20608">
              <w:rPr>
                <w:rFonts w:asciiTheme="majorHAnsi" w:hAnsiTheme="majorHAnsi"/>
              </w:rPr>
              <w:t>three</w:t>
            </w:r>
            <w:r w:rsidRPr="00104C4F">
              <w:rPr>
                <w:rFonts w:asciiTheme="majorHAnsi" w:hAnsiTheme="majorHAnsi"/>
              </w:rPr>
              <w:t xml:space="preserve"> years</w:t>
            </w:r>
            <w:r w:rsidR="00C20608">
              <w:rPr>
                <w:rFonts w:asciiTheme="majorHAnsi" w:hAnsiTheme="majorHAnsi"/>
              </w:rPr>
              <w:t xml:space="preserve"> of operation</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tcPr>
          <w:p w:rsidR="00F954BD" w:rsidRDefault="00F954BD" w:rsidP="00F30EC4">
            <w:pPr>
              <w:spacing w:line="288" w:lineRule="auto"/>
              <w:rPr>
                <w:rFonts w:asciiTheme="majorHAnsi" w:hAnsiTheme="majorHAnsi"/>
              </w:rPr>
            </w:pPr>
            <w:r>
              <w:rPr>
                <w:rFonts w:asciiTheme="majorHAnsi" w:hAnsiTheme="majorHAnsi"/>
                <w:bCs/>
              </w:rPr>
              <w:t>Immediately after approval of not-to-exceed rates</w:t>
            </w:r>
          </w:p>
        </w:tc>
      </w:tr>
      <w:tr w:rsidR="00F954BD" w:rsidRPr="00104C4F" w:rsidTr="00F30EC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54BD" w:rsidRPr="00104C4F" w:rsidRDefault="00F954BD" w:rsidP="00F30EC4">
            <w:pPr>
              <w:spacing w:line="288" w:lineRule="auto"/>
              <w:rPr>
                <w:rFonts w:asciiTheme="majorHAnsi" w:hAnsiTheme="majorHAnsi" w:cs="Calibri"/>
              </w:rPr>
            </w:pPr>
            <w:r w:rsidRPr="00104C4F">
              <w:rPr>
                <w:rFonts w:asciiTheme="majorHAnsi" w:hAnsiTheme="majorHAnsi"/>
              </w:rPr>
              <w:t xml:space="preserve">Determine </w:t>
            </w:r>
            <w:r>
              <w:rPr>
                <w:rFonts w:asciiTheme="majorHAnsi" w:hAnsiTheme="majorHAnsi"/>
              </w:rPr>
              <w:t xml:space="preserve">if and how </w:t>
            </w:r>
            <w:r w:rsidRPr="00104C4F">
              <w:rPr>
                <w:rFonts w:asciiTheme="majorHAnsi" w:hAnsiTheme="majorHAnsi"/>
              </w:rPr>
              <w:t xml:space="preserve">BTM subsidies </w:t>
            </w:r>
            <w:r>
              <w:rPr>
                <w:rFonts w:asciiTheme="majorHAnsi" w:hAnsiTheme="majorHAnsi"/>
              </w:rPr>
              <w:t xml:space="preserve">should be used </w:t>
            </w:r>
            <w:r w:rsidRPr="00104C4F">
              <w:rPr>
                <w:rFonts w:asciiTheme="majorHAnsi" w:hAnsiTheme="majorHAnsi"/>
              </w:rPr>
              <w:t xml:space="preserve">as a </w:t>
            </w:r>
            <w:r>
              <w:rPr>
                <w:rFonts w:asciiTheme="majorHAnsi" w:hAnsiTheme="majorHAnsi"/>
              </w:rPr>
              <w:t>mechanism to</w:t>
            </w:r>
            <w:r w:rsidRPr="00104C4F">
              <w:rPr>
                <w:rFonts w:asciiTheme="majorHAnsi" w:hAnsiTheme="majorHAnsi"/>
              </w:rPr>
              <w:t xml:space="preserve"> of attract new CPSF customers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4BD" w:rsidRPr="00104C4F" w:rsidRDefault="00F954BD" w:rsidP="00F30EC4">
            <w:pPr>
              <w:spacing w:line="288" w:lineRule="auto"/>
              <w:rPr>
                <w:rFonts w:asciiTheme="majorHAnsi" w:hAnsiTheme="majorHAnsi" w:cs="Calibri"/>
              </w:rPr>
            </w:pPr>
            <w:r>
              <w:rPr>
                <w:rFonts w:asciiTheme="majorHAnsi" w:hAnsiTheme="majorHAnsi"/>
              </w:rPr>
              <w:t>Year 1</w:t>
            </w:r>
          </w:p>
        </w:tc>
      </w:tr>
      <w:tr w:rsidR="00F954BD" w:rsidRPr="00104C4F" w:rsidTr="00F30EC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54BD" w:rsidRPr="00104C4F" w:rsidRDefault="00F954BD" w:rsidP="00F30EC4">
            <w:pPr>
              <w:spacing w:line="288" w:lineRule="auto"/>
              <w:rPr>
                <w:rFonts w:asciiTheme="majorHAnsi" w:hAnsiTheme="majorHAnsi" w:cs="Calibri"/>
              </w:rPr>
            </w:pPr>
            <w:r w:rsidRPr="00104C4F">
              <w:rPr>
                <w:rFonts w:asciiTheme="majorHAnsi" w:hAnsiTheme="majorHAnsi"/>
              </w:rPr>
              <w:t xml:space="preserve">Work with </w:t>
            </w:r>
            <w:r>
              <w:rPr>
                <w:rFonts w:asciiTheme="majorHAnsi" w:hAnsiTheme="majorHAnsi"/>
              </w:rPr>
              <w:t>SFE to</w:t>
            </w:r>
            <w:r w:rsidRPr="00104C4F">
              <w:rPr>
                <w:rFonts w:asciiTheme="majorHAnsi" w:hAnsiTheme="majorHAnsi"/>
              </w:rPr>
              <w:t xml:space="preserve"> assess whether CPSF can support existing programs to induce investments in BTM in the first three years</w:t>
            </w:r>
            <w:r w:rsidR="00C20608">
              <w:rPr>
                <w:rFonts w:asciiTheme="majorHAnsi" w:hAnsiTheme="majorHAnsi"/>
              </w:rPr>
              <w:t xml:space="preserve"> of operation</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4BD" w:rsidRPr="00104C4F" w:rsidRDefault="00F954BD" w:rsidP="00F30EC4">
            <w:pPr>
              <w:spacing w:line="288" w:lineRule="auto"/>
              <w:rPr>
                <w:rFonts w:asciiTheme="majorHAnsi" w:hAnsiTheme="majorHAnsi" w:cs="Calibri"/>
              </w:rPr>
            </w:pPr>
            <w:r>
              <w:rPr>
                <w:rFonts w:asciiTheme="majorHAnsi" w:hAnsiTheme="majorHAnsi"/>
                <w:bCs/>
              </w:rPr>
              <w:t>Immediately after approval of not-to-exceed rates</w:t>
            </w:r>
          </w:p>
        </w:tc>
      </w:tr>
    </w:tbl>
    <w:p w:rsidR="004D13EA" w:rsidRPr="00104C4F" w:rsidRDefault="004D13EA" w:rsidP="004D13EA">
      <w:pPr>
        <w:spacing w:line="288" w:lineRule="auto"/>
        <w:rPr>
          <w:rFonts w:asciiTheme="majorHAnsi" w:hAnsiTheme="majorHAnsi"/>
        </w:rPr>
      </w:pPr>
    </w:p>
    <w:p w:rsidR="004D13EA" w:rsidRDefault="004D13EA" w:rsidP="004D13EA">
      <w:pPr>
        <w:spacing w:line="288" w:lineRule="auto"/>
        <w:rPr>
          <w:rFonts w:asciiTheme="majorHAnsi" w:hAnsiTheme="majorHAnsi"/>
          <w:b/>
          <w:i/>
        </w:rPr>
      </w:pPr>
      <w:r w:rsidRPr="00104C4F">
        <w:rPr>
          <w:rFonts w:asciiTheme="majorHAnsi" w:hAnsiTheme="majorHAnsi"/>
        </w:rPr>
        <w:t xml:space="preserve"> </w:t>
      </w:r>
      <w:r w:rsidRPr="00BF7139">
        <w:rPr>
          <w:rFonts w:asciiTheme="majorHAnsi" w:hAnsiTheme="majorHAnsi"/>
          <w:b/>
          <w:i/>
          <w:u w:val="single"/>
        </w:rPr>
        <w:t>STRATEGY #</w:t>
      </w:r>
      <w:r w:rsidR="00B01D72">
        <w:rPr>
          <w:rFonts w:asciiTheme="majorHAnsi" w:hAnsiTheme="majorHAnsi"/>
          <w:b/>
          <w:i/>
          <w:u w:val="single"/>
        </w:rPr>
        <w:t>7</w:t>
      </w:r>
      <w:r w:rsidRPr="00BF7139">
        <w:rPr>
          <w:rFonts w:asciiTheme="majorHAnsi" w:hAnsiTheme="majorHAnsi"/>
          <w:b/>
          <w:i/>
          <w:u w:val="single"/>
        </w:rPr>
        <w:t>:</w:t>
      </w:r>
      <w:r w:rsidR="006176CA">
        <w:rPr>
          <w:rFonts w:asciiTheme="majorHAnsi" w:hAnsiTheme="majorHAnsi"/>
          <w:b/>
          <w:i/>
        </w:rPr>
        <w:t xml:space="preserve">  CPSF </w:t>
      </w:r>
      <w:r w:rsidR="002007B3">
        <w:rPr>
          <w:rFonts w:asciiTheme="majorHAnsi" w:hAnsiTheme="majorHAnsi"/>
          <w:b/>
          <w:i/>
        </w:rPr>
        <w:t>will</w:t>
      </w:r>
      <w:r w:rsidR="006176CA">
        <w:rPr>
          <w:rFonts w:asciiTheme="majorHAnsi" w:hAnsiTheme="majorHAnsi"/>
          <w:b/>
          <w:i/>
        </w:rPr>
        <w:t xml:space="preserve"> prioritize the</w:t>
      </w:r>
      <w:r w:rsidRPr="00104C4F">
        <w:rPr>
          <w:rFonts w:asciiTheme="majorHAnsi" w:hAnsiTheme="majorHAnsi"/>
          <w:b/>
          <w:i/>
        </w:rPr>
        <w:t xml:space="preserve"> $2 million </w:t>
      </w:r>
      <w:r w:rsidR="002D2FAD">
        <w:rPr>
          <w:rFonts w:asciiTheme="majorHAnsi" w:hAnsiTheme="majorHAnsi"/>
          <w:b/>
          <w:i/>
        </w:rPr>
        <w:t>for</w:t>
      </w:r>
      <w:r w:rsidRPr="00104C4F">
        <w:rPr>
          <w:rFonts w:asciiTheme="majorHAnsi" w:hAnsiTheme="majorHAnsi"/>
          <w:b/>
          <w:i/>
        </w:rPr>
        <w:t xml:space="preserve"> GoSolar</w:t>
      </w:r>
      <w:r w:rsidR="002D2FAD">
        <w:rPr>
          <w:rFonts w:asciiTheme="majorHAnsi" w:hAnsiTheme="majorHAnsi"/>
          <w:b/>
          <w:i/>
        </w:rPr>
        <w:t>SF incentives</w:t>
      </w:r>
      <w:r w:rsidR="006176CA">
        <w:rPr>
          <w:rFonts w:asciiTheme="majorHAnsi" w:hAnsiTheme="majorHAnsi"/>
          <w:b/>
          <w:i/>
        </w:rPr>
        <w:t xml:space="preserve"> to support projects at </w:t>
      </w:r>
      <w:r w:rsidRPr="00104C4F">
        <w:rPr>
          <w:rFonts w:asciiTheme="majorHAnsi" w:hAnsiTheme="majorHAnsi"/>
          <w:b/>
          <w:i/>
        </w:rPr>
        <w:t xml:space="preserve"> </w:t>
      </w:r>
      <w:r w:rsidR="002D2FAD">
        <w:rPr>
          <w:rFonts w:asciiTheme="majorHAnsi" w:hAnsiTheme="majorHAnsi"/>
          <w:b/>
          <w:i/>
        </w:rPr>
        <w:t xml:space="preserve">low-income </w:t>
      </w:r>
      <w:r w:rsidR="006176CA">
        <w:rPr>
          <w:rFonts w:asciiTheme="majorHAnsi" w:hAnsiTheme="majorHAnsi"/>
          <w:b/>
          <w:i/>
        </w:rPr>
        <w:t xml:space="preserve">properties where </w:t>
      </w:r>
      <w:r w:rsidRPr="00104C4F">
        <w:rPr>
          <w:rFonts w:asciiTheme="majorHAnsi" w:hAnsiTheme="majorHAnsi"/>
          <w:b/>
          <w:i/>
        </w:rPr>
        <w:t xml:space="preserve">CPSF customers </w:t>
      </w:r>
      <w:r w:rsidR="006176CA">
        <w:rPr>
          <w:rFonts w:asciiTheme="majorHAnsi" w:hAnsiTheme="majorHAnsi"/>
          <w:b/>
          <w:i/>
        </w:rPr>
        <w:t xml:space="preserve">reside, projects that provide </w:t>
      </w:r>
      <w:r w:rsidRPr="00104C4F">
        <w:rPr>
          <w:rFonts w:asciiTheme="majorHAnsi" w:hAnsiTheme="majorHAnsi"/>
          <w:b/>
          <w:i/>
        </w:rPr>
        <w:t xml:space="preserve">energy savings and  </w:t>
      </w:r>
      <w:r w:rsidR="006176CA">
        <w:rPr>
          <w:rFonts w:asciiTheme="majorHAnsi" w:hAnsiTheme="majorHAnsi"/>
          <w:b/>
          <w:i/>
        </w:rPr>
        <w:t xml:space="preserve">projects that sell </w:t>
      </w:r>
      <w:r w:rsidRPr="00104C4F">
        <w:rPr>
          <w:rFonts w:asciiTheme="majorHAnsi" w:hAnsiTheme="majorHAnsi"/>
          <w:b/>
          <w:i/>
        </w:rPr>
        <w:t>excess power to CPSF through a net metering agreement or tariff.</w:t>
      </w:r>
    </w:p>
    <w:p w:rsidR="00F954BD" w:rsidRDefault="00F954BD" w:rsidP="004D13EA">
      <w:pPr>
        <w:spacing w:line="288" w:lineRule="auto"/>
        <w:rPr>
          <w:rFonts w:asciiTheme="majorHAnsi" w:hAnsiTheme="majorHAnsi"/>
          <w:b/>
          <w:i/>
        </w:rPr>
      </w:pPr>
    </w:p>
    <w:tbl>
      <w:tblPr>
        <w:tblW w:w="0" w:type="auto"/>
        <w:tblCellMar>
          <w:left w:w="0" w:type="dxa"/>
          <w:right w:w="0" w:type="dxa"/>
        </w:tblCellMar>
        <w:tblLook w:val="04A0" w:firstRow="1" w:lastRow="0" w:firstColumn="1" w:lastColumn="0" w:noHBand="0" w:noVBand="1"/>
      </w:tblPr>
      <w:tblGrid>
        <w:gridCol w:w="6768"/>
        <w:gridCol w:w="2808"/>
      </w:tblGrid>
      <w:tr w:rsidR="00F954BD" w:rsidRPr="00104C4F" w:rsidTr="00202614">
        <w:tc>
          <w:tcPr>
            <w:tcW w:w="6768" w:type="dxa"/>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F954BD" w:rsidRPr="00104C4F" w:rsidRDefault="00F954BD" w:rsidP="00202614">
            <w:pPr>
              <w:spacing w:line="288" w:lineRule="auto"/>
              <w:rPr>
                <w:rFonts w:asciiTheme="majorHAnsi" w:hAnsiTheme="majorHAnsi" w:cs="Calibri"/>
                <w:b/>
                <w:bCs/>
                <w:i/>
                <w:iCs/>
              </w:rPr>
            </w:pPr>
            <w:r w:rsidRPr="00104C4F">
              <w:rPr>
                <w:rFonts w:asciiTheme="majorHAnsi" w:hAnsiTheme="majorHAnsi"/>
                <w:b/>
                <w:bCs/>
                <w:i/>
                <w:iCs/>
              </w:rPr>
              <w:t>Work Task</w:t>
            </w:r>
          </w:p>
        </w:tc>
        <w:tc>
          <w:tcPr>
            <w:tcW w:w="2808"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F954BD" w:rsidRPr="00104C4F" w:rsidRDefault="00F954BD" w:rsidP="00202614">
            <w:pPr>
              <w:spacing w:line="288" w:lineRule="auto"/>
              <w:rPr>
                <w:rFonts w:asciiTheme="majorHAnsi" w:hAnsiTheme="majorHAnsi" w:cs="Calibri"/>
                <w:b/>
                <w:bCs/>
                <w:i/>
                <w:iCs/>
              </w:rPr>
            </w:pPr>
            <w:r w:rsidRPr="00104C4F">
              <w:rPr>
                <w:rFonts w:asciiTheme="majorHAnsi" w:hAnsiTheme="majorHAnsi"/>
                <w:b/>
                <w:bCs/>
                <w:i/>
                <w:iCs/>
              </w:rPr>
              <w:t>Timing</w:t>
            </w:r>
          </w:p>
        </w:tc>
      </w:tr>
      <w:tr w:rsidR="00097D65" w:rsidRPr="00104C4F" w:rsidTr="0020261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7D65" w:rsidRPr="00104C4F" w:rsidRDefault="00097D65" w:rsidP="00202614">
            <w:pPr>
              <w:spacing w:line="288" w:lineRule="auto"/>
              <w:rPr>
                <w:rFonts w:asciiTheme="majorHAnsi" w:hAnsiTheme="majorHAnsi"/>
              </w:rPr>
            </w:pPr>
            <w:r>
              <w:rPr>
                <w:rFonts w:asciiTheme="majorHAnsi" w:hAnsiTheme="majorHAnsi"/>
              </w:rPr>
              <w:t>Work with the GoSolarSF group to develop a set of criteria for evaluation of potential CPSF sites for solar installations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tcPr>
          <w:p w:rsidR="00097D65" w:rsidRDefault="00097D65" w:rsidP="00202614">
            <w:pPr>
              <w:spacing w:line="288" w:lineRule="auto"/>
              <w:rPr>
                <w:rFonts w:asciiTheme="majorHAnsi" w:hAnsiTheme="majorHAnsi"/>
                <w:bCs/>
              </w:rPr>
            </w:pPr>
            <w:r>
              <w:rPr>
                <w:rFonts w:asciiTheme="majorHAnsi" w:hAnsiTheme="majorHAnsi"/>
                <w:bCs/>
              </w:rPr>
              <w:t>Ongoing</w:t>
            </w:r>
          </w:p>
        </w:tc>
      </w:tr>
      <w:tr w:rsidR="00F954BD" w:rsidRPr="00104C4F" w:rsidTr="0020261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54BD" w:rsidRPr="00104C4F" w:rsidRDefault="00097D65" w:rsidP="00202614">
            <w:pPr>
              <w:spacing w:line="288" w:lineRule="auto"/>
              <w:rPr>
                <w:rFonts w:asciiTheme="majorHAnsi" w:hAnsiTheme="majorHAnsi" w:cs="Calibri"/>
              </w:rPr>
            </w:pPr>
            <w:r>
              <w:rPr>
                <w:rFonts w:asciiTheme="majorHAnsi" w:hAnsiTheme="majorHAnsi"/>
              </w:rPr>
              <w:t>Coordinate</w:t>
            </w:r>
            <w:r w:rsidR="002D2FAD" w:rsidRPr="00104C4F">
              <w:rPr>
                <w:rFonts w:asciiTheme="majorHAnsi" w:hAnsiTheme="majorHAnsi"/>
              </w:rPr>
              <w:t xml:space="preserve"> with </w:t>
            </w:r>
            <w:r w:rsidR="002C66E0">
              <w:rPr>
                <w:rFonts w:asciiTheme="majorHAnsi" w:hAnsiTheme="majorHAnsi"/>
              </w:rPr>
              <w:t xml:space="preserve">the </w:t>
            </w:r>
            <w:r w:rsidR="002D2FAD" w:rsidRPr="00104C4F">
              <w:rPr>
                <w:rFonts w:asciiTheme="majorHAnsi" w:hAnsiTheme="majorHAnsi"/>
              </w:rPr>
              <w:t xml:space="preserve">GoSolarSF </w:t>
            </w:r>
            <w:r w:rsidR="002C66E0">
              <w:rPr>
                <w:rFonts w:asciiTheme="majorHAnsi" w:hAnsiTheme="majorHAnsi"/>
              </w:rPr>
              <w:t xml:space="preserve">group </w:t>
            </w:r>
            <w:r w:rsidR="002D2FAD" w:rsidRPr="00104C4F">
              <w:rPr>
                <w:rFonts w:asciiTheme="majorHAnsi" w:hAnsiTheme="majorHAnsi"/>
              </w:rPr>
              <w:t xml:space="preserve">and </w:t>
            </w:r>
            <w:r w:rsidR="002C66E0">
              <w:rPr>
                <w:rFonts w:asciiTheme="majorHAnsi" w:hAnsiTheme="majorHAnsi"/>
              </w:rPr>
              <w:t>SFE</w:t>
            </w:r>
            <w:r w:rsidR="002D2FAD" w:rsidRPr="00104C4F">
              <w:rPr>
                <w:rFonts w:asciiTheme="majorHAnsi" w:hAnsiTheme="majorHAnsi"/>
              </w:rPr>
              <w:t xml:space="preserve"> to identify </w:t>
            </w:r>
            <w:r w:rsidR="002C66E0">
              <w:rPr>
                <w:rFonts w:asciiTheme="majorHAnsi" w:hAnsiTheme="majorHAnsi"/>
              </w:rPr>
              <w:t>ideal</w:t>
            </w:r>
            <w:r w:rsidR="002C66E0" w:rsidRPr="00104C4F">
              <w:rPr>
                <w:rFonts w:asciiTheme="majorHAnsi" w:hAnsiTheme="majorHAnsi"/>
              </w:rPr>
              <w:t xml:space="preserve"> </w:t>
            </w:r>
            <w:r w:rsidR="002D2FAD" w:rsidRPr="00104C4F">
              <w:rPr>
                <w:rFonts w:asciiTheme="majorHAnsi" w:hAnsiTheme="majorHAnsi"/>
              </w:rPr>
              <w:t>project candidates at low income properties</w:t>
            </w:r>
            <w:r w:rsidR="002C66E0">
              <w:rPr>
                <w:rFonts w:asciiTheme="majorHAnsi" w:hAnsiTheme="majorHAnsi"/>
              </w:rPr>
              <w:t>,</w:t>
            </w:r>
            <w:r w:rsidR="002D2FAD" w:rsidRPr="00104C4F">
              <w:rPr>
                <w:rFonts w:asciiTheme="majorHAnsi" w:hAnsiTheme="majorHAnsi"/>
              </w:rPr>
              <w:t xml:space="preserve"> and other sources of project support, whether from property owners, CPSF customers or government-sponsored programs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4BD" w:rsidRPr="00104C4F" w:rsidRDefault="002C66E0" w:rsidP="00202614">
            <w:pPr>
              <w:spacing w:line="288" w:lineRule="auto"/>
              <w:rPr>
                <w:rFonts w:asciiTheme="majorHAnsi" w:hAnsiTheme="majorHAnsi" w:cs="Calibri"/>
              </w:rPr>
            </w:pPr>
            <w:r>
              <w:rPr>
                <w:rFonts w:asciiTheme="majorHAnsi" w:hAnsiTheme="majorHAnsi"/>
                <w:bCs/>
              </w:rPr>
              <w:t>Immediately after approval of not-to-exceed rates</w:t>
            </w:r>
          </w:p>
        </w:tc>
      </w:tr>
      <w:tr w:rsidR="00F954BD" w:rsidRPr="00104C4F" w:rsidTr="0020261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954BD" w:rsidRPr="00104C4F" w:rsidRDefault="002C66E0" w:rsidP="00202614">
            <w:pPr>
              <w:spacing w:line="288" w:lineRule="auto"/>
              <w:rPr>
                <w:rFonts w:asciiTheme="majorHAnsi" w:hAnsiTheme="majorHAnsi"/>
              </w:rPr>
            </w:pPr>
            <w:r w:rsidRPr="00104C4F">
              <w:rPr>
                <w:rFonts w:asciiTheme="majorHAnsi" w:hAnsiTheme="majorHAnsi"/>
              </w:rPr>
              <w:t>Develop an RFP for project construction</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tcPr>
          <w:p w:rsidR="00F954BD" w:rsidRDefault="002C66E0" w:rsidP="00202614">
            <w:pPr>
              <w:spacing w:line="288" w:lineRule="auto"/>
              <w:rPr>
                <w:rFonts w:asciiTheme="majorHAnsi" w:hAnsiTheme="majorHAnsi"/>
              </w:rPr>
            </w:pPr>
            <w:r>
              <w:rPr>
                <w:rFonts w:asciiTheme="majorHAnsi" w:hAnsiTheme="majorHAnsi"/>
              </w:rPr>
              <w:t>Immediately</w:t>
            </w:r>
            <w:r w:rsidRPr="00104C4F">
              <w:rPr>
                <w:rFonts w:asciiTheme="majorHAnsi" w:hAnsiTheme="majorHAnsi"/>
              </w:rPr>
              <w:t xml:space="preserve"> after </w:t>
            </w:r>
            <w:r>
              <w:rPr>
                <w:rFonts w:asciiTheme="majorHAnsi" w:hAnsiTheme="majorHAnsi"/>
              </w:rPr>
              <w:t>siting analysis</w:t>
            </w:r>
          </w:p>
        </w:tc>
      </w:tr>
      <w:tr w:rsidR="00F954BD" w:rsidRPr="00104C4F" w:rsidTr="0020261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54BD" w:rsidRPr="00104C4F" w:rsidRDefault="002C66E0" w:rsidP="00202614">
            <w:pPr>
              <w:spacing w:line="288" w:lineRule="auto"/>
              <w:rPr>
                <w:rFonts w:asciiTheme="majorHAnsi" w:hAnsiTheme="majorHAnsi" w:cs="Calibri"/>
              </w:rPr>
            </w:pPr>
            <w:r w:rsidRPr="00104C4F">
              <w:rPr>
                <w:rFonts w:asciiTheme="majorHAnsi" w:hAnsiTheme="majorHAnsi"/>
              </w:rPr>
              <w:t>Monitor project progress and, where relevant, establish sales agreements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4BD" w:rsidRPr="00104C4F" w:rsidRDefault="002C66E0" w:rsidP="00202614">
            <w:pPr>
              <w:spacing w:line="288" w:lineRule="auto"/>
              <w:rPr>
                <w:rFonts w:asciiTheme="majorHAnsi" w:hAnsiTheme="majorHAnsi" w:cs="Calibri"/>
              </w:rPr>
            </w:pPr>
            <w:r>
              <w:rPr>
                <w:rFonts w:asciiTheme="majorHAnsi" w:hAnsiTheme="majorHAnsi" w:cs="Calibri"/>
              </w:rPr>
              <w:t>Ongoing</w:t>
            </w:r>
          </w:p>
        </w:tc>
      </w:tr>
    </w:tbl>
    <w:p w:rsidR="00D246DB" w:rsidRDefault="00D246DB" w:rsidP="006911A7">
      <w:pPr>
        <w:spacing w:line="288" w:lineRule="auto"/>
        <w:rPr>
          <w:rFonts w:asciiTheme="majorHAnsi" w:hAnsiTheme="majorHAnsi"/>
        </w:rPr>
      </w:pPr>
    </w:p>
    <w:p w:rsidR="00B361E4" w:rsidRPr="00BF7139" w:rsidRDefault="00B361E4" w:rsidP="00202614">
      <w:pPr>
        <w:spacing w:line="276" w:lineRule="auto"/>
        <w:ind w:firstLine="720"/>
        <w:rPr>
          <w:rFonts w:asciiTheme="majorHAnsi" w:hAnsiTheme="majorHAnsi"/>
          <w:b/>
          <w:u w:val="single"/>
        </w:rPr>
      </w:pPr>
      <w:r w:rsidRPr="00B01D72">
        <w:rPr>
          <w:rFonts w:asciiTheme="majorHAnsi" w:hAnsiTheme="majorHAnsi"/>
          <w:b/>
          <w:u w:val="single"/>
        </w:rPr>
        <w:t>NET ENERGY METERING TARIFFS (NEM)</w:t>
      </w:r>
    </w:p>
    <w:p w:rsidR="00B361E4" w:rsidRPr="00B361E4" w:rsidRDefault="00B361E4" w:rsidP="00B361E4">
      <w:pPr>
        <w:spacing w:line="276" w:lineRule="auto"/>
        <w:rPr>
          <w:rFonts w:asciiTheme="majorHAnsi" w:hAnsiTheme="majorHAnsi"/>
        </w:rPr>
      </w:pPr>
      <w:r w:rsidRPr="00B361E4">
        <w:rPr>
          <w:rFonts w:asciiTheme="majorHAnsi" w:hAnsiTheme="majorHAnsi"/>
        </w:rPr>
        <w:t xml:space="preserve">NEM tariffs are standardized contracts for providing bill credits or </w:t>
      </w:r>
      <w:r>
        <w:rPr>
          <w:rFonts w:asciiTheme="majorHAnsi" w:hAnsiTheme="majorHAnsi"/>
        </w:rPr>
        <w:t xml:space="preserve">payments in return for </w:t>
      </w:r>
      <w:r w:rsidRPr="00B361E4">
        <w:rPr>
          <w:rFonts w:asciiTheme="majorHAnsi" w:hAnsiTheme="majorHAnsi"/>
        </w:rPr>
        <w:t>purchase of excess electricity produced by CPSF customers</w:t>
      </w:r>
      <w:r>
        <w:rPr>
          <w:rFonts w:asciiTheme="majorHAnsi" w:hAnsiTheme="majorHAnsi"/>
        </w:rPr>
        <w:t>,</w:t>
      </w:r>
      <w:r w:rsidRPr="00B361E4">
        <w:rPr>
          <w:rFonts w:asciiTheme="majorHAnsi" w:hAnsiTheme="majorHAnsi"/>
        </w:rPr>
        <w:t xml:space="preserve"> mainly for on-site use, such as rooftop solar on residential buildings. Currently, PG&amp;E does not pay customers for excess power</w:t>
      </w:r>
      <w:r>
        <w:rPr>
          <w:rFonts w:asciiTheme="majorHAnsi" w:hAnsiTheme="majorHAnsi"/>
        </w:rPr>
        <w:t>;</w:t>
      </w:r>
      <w:r w:rsidRPr="00B361E4">
        <w:rPr>
          <w:rFonts w:asciiTheme="majorHAnsi" w:hAnsiTheme="majorHAnsi"/>
        </w:rPr>
        <w:t>it gives them a credit at the end of the year for “free” power in future periods.  This policy actually discourages conservation by customers because they get no benefit from the NEM tariff unless they use more power in future periods than in previous periods.  Purchasing the power – even at discounted levels – could encourage conservation and construction of small power facilities. A net metering tariff may in</w:t>
      </w:r>
      <w:r>
        <w:rPr>
          <w:rFonts w:asciiTheme="majorHAnsi" w:hAnsiTheme="majorHAnsi"/>
        </w:rPr>
        <w:t>cent</w:t>
      </w:r>
      <w:r w:rsidRPr="00B361E4">
        <w:rPr>
          <w:rFonts w:asciiTheme="majorHAnsi" w:hAnsiTheme="majorHAnsi"/>
        </w:rPr>
        <w:t xml:space="preserve"> PG&amp;E customers to subscribe to CPSF as an electricity customer as well. </w:t>
      </w:r>
    </w:p>
    <w:p w:rsidR="00B361E4" w:rsidRPr="00104C4F" w:rsidRDefault="00B361E4" w:rsidP="00B361E4">
      <w:pPr>
        <w:rPr>
          <w:rFonts w:asciiTheme="majorHAnsi" w:hAnsiTheme="majorHAnsi"/>
        </w:rPr>
      </w:pPr>
    </w:p>
    <w:p w:rsidR="00B361E4" w:rsidRDefault="00B361E4" w:rsidP="00B361E4">
      <w:pPr>
        <w:rPr>
          <w:rFonts w:asciiTheme="majorHAnsi" w:hAnsiTheme="majorHAnsi"/>
        </w:rPr>
      </w:pPr>
      <w:r w:rsidRPr="00104C4F">
        <w:rPr>
          <w:rFonts w:asciiTheme="majorHAnsi" w:hAnsiTheme="majorHAnsi"/>
        </w:rPr>
        <w:t xml:space="preserve">CPSF has access to data regarding where </w:t>
      </w:r>
      <w:r>
        <w:rPr>
          <w:rFonts w:asciiTheme="majorHAnsi" w:hAnsiTheme="majorHAnsi"/>
        </w:rPr>
        <w:t>NEM customers</w:t>
      </w:r>
      <w:r w:rsidRPr="00104C4F">
        <w:rPr>
          <w:rFonts w:asciiTheme="majorHAnsi" w:hAnsiTheme="majorHAnsi"/>
        </w:rPr>
        <w:t xml:space="preserve"> are located around the City (although it </w:t>
      </w:r>
      <w:r>
        <w:rPr>
          <w:rFonts w:asciiTheme="majorHAnsi" w:hAnsiTheme="majorHAnsi"/>
        </w:rPr>
        <w:t>does</w:t>
      </w:r>
      <w:r w:rsidRPr="00104C4F">
        <w:rPr>
          <w:rFonts w:asciiTheme="majorHAnsi" w:hAnsiTheme="majorHAnsi"/>
        </w:rPr>
        <w:t xml:space="preserve"> not specif</w:t>
      </w:r>
      <w:r>
        <w:rPr>
          <w:rFonts w:asciiTheme="majorHAnsi" w:hAnsiTheme="majorHAnsi"/>
        </w:rPr>
        <w:t>y project size</w:t>
      </w:r>
      <w:r w:rsidRPr="00104C4F">
        <w:rPr>
          <w:rFonts w:asciiTheme="majorHAnsi" w:hAnsiTheme="majorHAnsi"/>
        </w:rPr>
        <w:t xml:space="preserve">). This information could be used to </w:t>
      </w:r>
      <w:r>
        <w:rPr>
          <w:rFonts w:asciiTheme="majorHAnsi" w:hAnsiTheme="majorHAnsi"/>
        </w:rPr>
        <w:t xml:space="preserve">identify and </w:t>
      </w:r>
      <w:r w:rsidRPr="00104C4F">
        <w:rPr>
          <w:rFonts w:asciiTheme="majorHAnsi" w:hAnsiTheme="majorHAnsi"/>
        </w:rPr>
        <w:t xml:space="preserve">contact </w:t>
      </w:r>
      <w:r>
        <w:rPr>
          <w:rFonts w:asciiTheme="majorHAnsi" w:hAnsiTheme="majorHAnsi"/>
        </w:rPr>
        <w:t xml:space="preserve">potential </w:t>
      </w:r>
      <w:r w:rsidRPr="00104C4F">
        <w:rPr>
          <w:rFonts w:asciiTheme="majorHAnsi" w:hAnsiTheme="majorHAnsi"/>
        </w:rPr>
        <w:t xml:space="preserve">CPSF customers </w:t>
      </w:r>
      <w:r>
        <w:rPr>
          <w:rFonts w:asciiTheme="majorHAnsi" w:hAnsiTheme="majorHAnsi"/>
        </w:rPr>
        <w:t>that have solar.</w:t>
      </w:r>
    </w:p>
    <w:p w:rsidR="00B361E4" w:rsidRPr="00104C4F" w:rsidRDefault="00B361E4" w:rsidP="00B361E4">
      <w:pPr>
        <w:rPr>
          <w:rFonts w:asciiTheme="majorHAnsi" w:hAnsiTheme="majorHAnsi"/>
        </w:rPr>
      </w:pPr>
    </w:p>
    <w:p w:rsidR="00B361E4" w:rsidRPr="00104C4F" w:rsidRDefault="00B361E4" w:rsidP="00B361E4">
      <w:pPr>
        <w:rPr>
          <w:rFonts w:asciiTheme="majorHAnsi" w:hAnsiTheme="majorHAnsi"/>
          <w:b/>
          <w:i/>
        </w:rPr>
      </w:pPr>
      <w:r>
        <w:rPr>
          <w:rFonts w:asciiTheme="majorHAnsi" w:hAnsiTheme="majorHAnsi"/>
          <w:b/>
          <w:i/>
        </w:rPr>
        <w:t>Potential Concerns:</w:t>
      </w:r>
    </w:p>
    <w:p w:rsidR="00B361E4" w:rsidRPr="00104C4F" w:rsidRDefault="00B361E4" w:rsidP="00B361E4">
      <w:pPr>
        <w:pStyle w:val="ListParagraph"/>
        <w:numPr>
          <w:ilvl w:val="0"/>
          <w:numId w:val="32"/>
        </w:numPr>
        <w:spacing w:line="276" w:lineRule="auto"/>
        <w:rPr>
          <w:rFonts w:asciiTheme="majorHAnsi" w:hAnsiTheme="majorHAnsi"/>
        </w:rPr>
      </w:pPr>
      <w:r w:rsidRPr="00104C4F">
        <w:rPr>
          <w:rFonts w:asciiTheme="majorHAnsi" w:hAnsiTheme="majorHAnsi"/>
        </w:rPr>
        <w:t>Whether CPSF’s NEM tariffs should pay for excess power rather than provide customer credits and if so</w:t>
      </w:r>
      <w:r>
        <w:rPr>
          <w:rFonts w:asciiTheme="majorHAnsi" w:hAnsiTheme="majorHAnsi"/>
        </w:rPr>
        <w:t>,</w:t>
      </w:r>
      <w:r w:rsidRPr="00104C4F">
        <w:rPr>
          <w:rFonts w:asciiTheme="majorHAnsi" w:hAnsiTheme="majorHAnsi"/>
        </w:rPr>
        <w:t xml:space="preserve"> at what levels;</w:t>
      </w:r>
    </w:p>
    <w:p w:rsidR="00B361E4" w:rsidRPr="00104C4F" w:rsidRDefault="00B361E4" w:rsidP="00B361E4">
      <w:pPr>
        <w:pStyle w:val="ListParagraph"/>
        <w:numPr>
          <w:ilvl w:val="0"/>
          <w:numId w:val="32"/>
        </w:numPr>
        <w:spacing w:line="276" w:lineRule="auto"/>
        <w:rPr>
          <w:rFonts w:asciiTheme="majorHAnsi" w:hAnsiTheme="majorHAnsi"/>
        </w:rPr>
      </w:pPr>
      <w:r w:rsidRPr="00104C4F">
        <w:rPr>
          <w:rFonts w:asciiTheme="majorHAnsi" w:hAnsiTheme="majorHAnsi"/>
        </w:rPr>
        <w:t>Whether and how CPSF’s NEM tariff should be designed to encourage participation in CPSF by customers who own or would install renewable projects</w:t>
      </w:r>
      <w:r>
        <w:rPr>
          <w:rFonts w:asciiTheme="majorHAnsi" w:hAnsiTheme="majorHAnsi"/>
        </w:rPr>
        <w:t>.</w:t>
      </w:r>
    </w:p>
    <w:p w:rsidR="00B361E4" w:rsidRPr="00104C4F" w:rsidRDefault="00B361E4" w:rsidP="00B361E4">
      <w:pPr>
        <w:ind w:left="360"/>
        <w:rPr>
          <w:rFonts w:asciiTheme="majorHAnsi" w:hAnsiTheme="majorHAnsi"/>
          <w:bCs/>
        </w:rPr>
      </w:pPr>
    </w:p>
    <w:p w:rsidR="00B361E4" w:rsidRDefault="00B361E4" w:rsidP="00B361E4">
      <w:pPr>
        <w:rPr>
          <w:rFonts w:asciiTheme="majorHAnsi" w:hAnsiTheme="majorHAnsi"/>
          <w:b/>
          <w:bCs/>
          <w:i/>
        </w:rPr>
      </w:pPr>
      <w:r w:rsidRPr="00BF7139">
        <w:rPr>
          <w:rFonts w:asciiTheme="majorHAnsi" w:hAnsiTheme="majorHAnsi"/>
          <w:b/>
          <w:bCs/>
          <w:i/>
          <w:u w:val="single"/>
        </w:rPr>
        <w:t>STRATEGY #</w:t>
      </w:r>
      <w:r w:rsidR="00B01D72">
        <w:rPr>
          <w:rFonts w:asciiTheme="majorHAnsi" w:hAnsiTheme="majorHAnsi"/>
          <w:b/>
          <w:bCs/>
          <w:i/>
          <w:u w:val="single"/>
        </w:rPr>
        <w:t>8</w:t>
      </w:r>
      <w:r w:rsidRPr="00BF7139">
        <w:rPr>
          <w:rFonts w:asciiTheme="majorHAnsi" w:hAnsiTheme="majorHAnsi"/>
          <w:b/>
          <w:bCs/>
          <w:i/>
          <w:u w:val="single"/>
        </w:rPr>
        <w:t>:</w:t>
      </w:r>
      <w:r w:rsidRPr="00104C4F">
        <w:rPr>
          <w:rFonts w:asciiTheme="majorHAnsi" w:hAnsiTheme="majorHAnsi"/>
          <w:b/>
          <w:bCs/>
          <w:i/>
        </w:rPr>
        <w:t xml:space="preserve">  CPSF will offer to purchase excess power produced by small projects at </w:t>
      </w:r>
      <w:r w:rsidR="00B01D72">
        <w:rPr>
          <w:rFonts w:asciiTheme="majorHAnsi" w:hAnsiTheme="majorHAnsi"/>
          <w:b/>
          <w:bCs/>
          <w:i/>
        </w:rPr>
        <w:t xml:space="preserve">CPSF </w:t>
      </w:r>
      <w:r w:rsidRPr="00104C4F">
        <w:rPr>
          <w:rFonts w:asciiTheme="majorHAnsi" w:hAnsiTheme="majorHAnsi"/>
          <w:b/>
          <w:bCs/>
          <w:i/>
        </w:rPr>
        <w:t>customer premises</w:t>
      </w:r>
      <w:r w:rsidR="00B01D72">
        <w:rPr>
          <w:rFonts w:asciiTheme="majorHAnsi" w:hAnsiTheme="majorHAnsi"/>
          <w:b/>
          <w:bCs/>
          <w:i/>
        </w:rPr>
        <w:t>,</w:t>
      </w:r>
      <w:r w:rsidRPr="00104C4F">
        <w:rPr>
          <w:rFonts w:asciiTheme="majorHAnsi" w:hAnsiTheme="majorHAnsi"/>
          <w:b/>
          <w:bCs/>
          <w:i/>
        </w:rPr>
        <w:t xml:space="preserve"> according to a net metering tariff. </w:t>
      </w:r>
      <w:r w:rsidR="00B01D72">
        <w:rPr>
          <w:rFonts w:asciiTheme="majorHAnsi" w:hAnsiTheme="majorHAnsi"/>
          <w:b/>
          <w:bCs/>
          <w:i/>
        </w:rPr>
        <w:t>Such</w:t>
      </w:r>
      <w:r w:rsidR="00B01D72" w:rsidRPr="00104C4F">
        <w:rPr>
          <w:rFonts w:asciiTheme="majorHAnsi" w:hAnsiTheme="majorHAnsi"/>
          <w:b/>
          <w:bCs/>
          <w:i/>
        </w:rPr>
        <w:t xml:space="preserve"> </w:t>
      </w:r>
      <w:r w:rsidRPr="00104C4F">
        <w:rPr>
          <w:rFonts w:asciiTheme="majorHAnsi" w:hAnsiTheme="majorHAnsi"/>
          <w:b/>
          <w:bCs/>
          <w:i/>
        </w:rPr>
        <w:t xml:space="preserve">purchases may be used to </w:t>
      </w:r>
      <w:r w:rsidR="00B01D72">
        <w:rPr>
          <w:rFonts w:asciiTheme="majorHAnsi" w:hAnsiTheme="majorHAnsi"/>
          <w:b/>
          <w:bCs/>
          <w:i/>
        </w:rPr>
        <w:t>attract</w:t>
      </w:r>
      <w:r w:rsidRPr="00104C4F">
        <w:rPr>
          <w:rFonts w:asciiTheme="majorHAnsi" w:hAnsiTheme="majorHAnsi"/>
          <w:b/>
          <w:bCs/>
          <w:i/>
        </w:rPr>
        <w:t xml:space="preserve"> non-CPSF customers</w:t>
      </w:r>
      <w:r w:rsidR="00B01D72">
        <w:rPr>
          <w:rFonts w:asciiTheme="majorHAnsi" w:hAnsiTheme="majorHAnsi"/>
          <w:b/>
          <w:bCs/>
          <w:i/>
        </w:rPr>
        <w:t xml:space="preserve"> with solar installations to the program</w:t>
      </w:r>
      <w:r w:rsidRPr="00104C4F">
        <w:rPr>
          <w:rFonts w:asciiTheme="majorHAnsi" w:hAnsiTheme="majorHAnsi"/>
          <w:b/>
          <w:bCs/>
          <w:i/>
        </w:rPr>
        <w:t xml:space="preserve"> The NEM rate will be set at or </w:t>
      </w:r>
      <w:r w:rsidR="00B01D72">
        <w:rPr>
          <w:rFonts w:asciiTheme="majorHAnsi" w:hAnsiTheme="majorHAnsi"/>
          <w:b/>
          <w:bCs/>
          <w:i/>
        </w:rPr>
        <w:t>near</w:t>
      </w:r>
      <w:r w:rsidR="00B01D72" w:rsidRPr="00104C4F">
        <w:rPr>
          <w:rFonts w:asciiTheme="majorHAnsi" w:hAnsiTheme="majorHAnsi"/>
          <w:b/>
          <w:bCs/>
          <w:i/>
        </w:rPr>
        <w:t xml:space="preserve"> </w:t>
      </w:r>
      <w:r w:rsidRPr="00104C4F">
        <w:rPr>
          <w:rFonts w:asciiTheme="majorHAnsi" w:hAnsiTheme="majorHAnsi"/>
          <w:b/>
          <w:bCs/>
          <w:i/>
        </w:rPr>
        <w:t xml:space="preserve">a price that is comparable to market power prices.  </w:t>
      </w:r>
    </w:p>
    <w:p w:rsidR="00480D56" w:rsidRDefault="00480D56" w:rsidP="00B361E4">
      <w:pPr>
        <w:rPr>
          <w:rFonts w:asciiTheme="majorHAnsi" w:hAnsiTheme="majorHAnsi"/>
          <w:b/>
          <w:bCs/>
          <w:i/>
        </w:rPr>
      </w:pPr>
    </w:p>
    <w:tbl>
      <w:tblPr>
        <w:tblW w:w="0" w:type="auto"/>
        <w:tblCellMar>
          <w:left w:w="0" w:type="dxa"/>
          <w:right w:w="0" w:type="dxa"/>
        </w:tblCellMar>
        <w:tblLook w:val="04A0" w:firstRow="1" w:lastRow="0" w:firstColumn="1" w:lastColumn="0" w:noHBand="0" w:noVBand="1"/>
      </w:tblPr>
      <w:tblGrid>
        <w:gridCol w:w="6768"/>
        <w:gridCol w:w="2808"/>
      </w:tblGrid>
      <w:tr w:rsidR="00480D56" w:rsidRPr="00104C4F" w:rsidTr="00202614">
        <w:tc>
          <w:tcPr>
            <w:tcW w:w="6768" w:type="dxa"/>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480D56" w:rsidRPr="00104C4F" w:rsidRDefault="00480D56" w:rsidP="00202614">
            <w:pPr>
              <w:spacing w:line="288" w:lineRule="auto"/>
              <w:rPr>
                <w:rFonts w:asciiTheme="majorHAnsi" w:hAnsiTheme="majorHAnsi" w:cs="Calibri"/>
                <w:b/>
                <w:bCs/>
                <w:i/>
                <w:iCs/>
              </w:rPr>
            </w:pPr>
            <w:r w:rsidRPr="00104C4F">
              <w:rPr>
                <w:rFonts w:asciiTheme="majorHAnsi" w:hAnsiTheme="majorHAnsi"/>
                <w:b/>
                <w:bCs/>
                <w:i/>
                <w:iCs/>
              </w:rPr>
              <w:t>Work Tas</w:t>
            </w:r>
            <w:r w:rsidR="002007B3">
              <w:rPr>
                <w:rFonts w:asciiTheme="majorHAnsi" w:hAnsiTheme="majorHAnsi"/>
                <w:b/>
                <w:bCs/>
                <w:i/>
                <w:iCs/>
              </w:rPr>
              <w:t>s</w:t>
            </w:r>
            <w:r w:rsidRPr="00104C4F">
              <w:rPr>
                <w:rFonts w:asciiTheme="majorHAnsi" w:hAnsiTheme="majorHAnsi"/>
                <w:b/>
                <w:bCs/>
                <w:i/>
                <w:iCs/>
              </w:rPr>
              <w:t>k</w:t>
            </w:r>
          </w:p>
        </w:tc>
        <w:tc>
          <w:tcPr>
            <w:tcW w:w="2808"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480D56" w:rsidRPr="00104C4F" w:rsidRDefault="00480D56" w:rsidP="00202614">
            <w:pPr>
              <w:spacing w:line="288" w:lineRule="auto"/>
              <w:rPr>
                <w:rFonts w:asciiTheme="majorHAnsi" w:hAnsiTheme="majorHAnsi" w:cs="Calibri"/>
                <w:b/>
                <w:bCs/>
                <w:i/>
                <w:iCs/>
              </w:rPr>
            </w:pPr>
            <w:r w:rsidRPr="00104C4F">
              <w:rPr>
                <w:rFonts w:asciiTheme="majorHAnsi" w:hAnsiTheme="majorHAnsi"/>
                <w:b/>
                <w:bCs/>
                <w:i/>
                <w:iCs/>
              </w:rPr>
              <w:t>Timing</w:t>
            </w:r>
          </w:p>
        </w:tc>
      </w:tr>
      <w:tr w:rsidR="00480D56" w:rsidRPr="00104C4F" w:rsidTr="0020261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0D56" w:rsidRPr="00104C4F" w:rsidRDefault="00480D56" w:rsidP="00202614">
            <w:pPr>
              <w:spacing w:line="288" w:lineRule="auto"/>
              <w:rPr>
                <w:rFonts w:asciiTheme="majorHAnsi" w:hAnsiTheme="majorHAnsi" w:cs="Calibri"/>
              </w:rPr>
            </w:pPr>
            <w:r w:rsidRPr="00104C4F">
              <w:rPr>
                <w:rFonts w:asciiTheme="majorHAnsi" w:hAnsiTheme="majorHAnsi"/>
                <w:bCs/>
              </w:rPr>
              <w:t>Draft an NEM tariff for SFPUC approval</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0D56" w:rsidRPr="00104C4F" w:rsidRDefault="00480D56" w:rsidP="00202614">
            <w:pPr>
              <w:spacing w:line="288" w:lineRule="auto"/>
              <w:rPr>
                <w:rFonts w:asciiTheme="majorHAnsi" w:hAnsiTheme="majorHAnsi" w:cs="Calibri"/>
              </w:rPr>
            </w:pPr>
            <w:r>
              <w:rPr>
                <w:rFonts w:asciiTheme="majorHAnsi" w:hAnsiTheme="majorHAnsi"/>
                <w:bCs/>
              </w:rPr>
              <w:t>Immediately after approval of not-to-exceed rates</w:t>
            </w:r>
          </w:p>
        </w:tc>
      </w:tr>
      <w:tr w:rsidR="00480D56" w:rsidRPr="00104C4F" w:rsidTr="0020261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80D56" w:rsidRPr="00104C4F" w:rsidRDefault="00480D56" w:rsidP="00202614">
            <w:pPr>
              <w:spacing w:line="288" w:lineRule="auto"/>
              <w:rPr>
                <w:rFonts w:asciiTheme="majorHAnsi" w:hAnsiTheme="majorHAnsi"/>
              </w:rPr>
            </w:pPr>
            <w:r w:rsidRPr="00104C4F">
              <w:rPr>
                <w:rFonts w:asciiTheme="majorHAnsi" w:hAnsiTheme="majorHAnsi"/>
                <w:bCs/>
              </w:rPr>
              <w:t>Identify potential NEM participants in all areas of the City and develop a plan to notify them of the NEM tariff offering</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tcPr>
          <w:p w:rsidR="00480D56" w:rsidRDefault="00480D56" w:rsidP="00202614">
            <w:pPr>
              <w:spacing w:line="288" w:lineRule="auto"/>
              <w:rPr>
                <w:rFonts w:asciiTheme="majorHAnsi" w:hAnsiTheme="majorHAnsi"/>
              </w:rPr>
            </w:pPr>
            <w:r>
              <w:rPr>
                <w:rFonts w:asciiTheme="majorHAnsi" w:hAnsiTheme="majorHAnsi"/>
                <w:bCs/>
              </w:rPr>
              <w:t>Immediately after approval of not-to-exceed rates</w:t>
            </w:r>
          </w:p>
        </w:tc>
      </w:tr>
      <w:tr w:rsidR="00480D56" w:rsidRPr="00104C4F" w:rsidTr="0020261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0D56" w:rsidRPr="00104C4F" w:rsidRDefault="00480D56" w:rsidP="00202614">
            <w:pPr>
              <w:spacing w:line="288" w:lineRule="auto"/>
              <w:rPr>
                <w:rFonts w:asciiTheme="majorHAnsi" w:hAnsiTheme="majorHAnsi" w:cs="Calibri"/>
              </w:rPr>
            </w:pPr>
            <w:r w:rsidRPr="00104C4F">
              <w:rPr>
                <w:rFonts w:asciiTheme="majorHAnsi" w:hAnsiTheme="majorHAnsi"/>
                <w:bCs/>
              </w:rPr>
              <w:t>Publish the NEM tariff and notify potential participants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0D56" w:rsidRPr="00104C4F" w:rsidRDefault="00480D56" w:rsidP="00202614">
            <w:pPr>
              <w:spacing w:line="288" w:lineRule="auto"/>
              <w:rPr>
                <w:rFonts w:asciiTheme="majorHAnsi" w:hAnsiTheme="majorHAnsi" w:cs="Calibri"/>
              </w:rPr>
            </w:pPr>
            <w:r>
              <w:rPr>
                <w:rFonts w:asciiTheme="majorHAnsi" w:hAnsiTheme="majorHAnsi"/>
                <w:bCs/>
              </w:rPr>
              <w:t>A</w:t>
            </w:r>
            <w:r w:rsidRPr="00104C4F">
              <w:rPr>
                <w:rFonts w:asciiTheme="majorHAnsi" w:hAnsiTheme="majorHAnsi"/>
                <w:bCs/>
              </w:rPr>
              <w:t>t launch</w:t>
            </w:r>
          </w:p>
        </w:tc>
      </w:tr>
    </w:tbl>
    <w:p w:rsidR="00B361E4" w:rsidRPr="00104C4F" w:rsidRDefault="00B361E4" w:rsidP="00B361E4">
      <w:pPr>
        <w:rPr>
          <w:rFonts w:asciiTheme="majorHAnsi" w:hAnsiTheme="majorHAnsi"/>
        </w:rPr>
      </w:pPr>
    </w:p>
    <w:p w:rsidR="00B23EE4" w:rsidRPr="00BF7139" w:rsidRDefault="00B23EE4" w:rsidP="00202614">
      <w:pPr>
        <w:spacing w:line="276" w:lineRule="auto"/>
        <w:ind w:firstLine="720"/>
        <w:rPr>
          <w:rFonts w:asciiTheme="majorHAnsi" w:hAnsiTheme="majorHAnsi"/>
          <w:b/>
          <w:u w:val="single"/>
        </w:rPr>
      </w:pPr>
      <w:r w:rsidRPr="00E4785F">
        <w:rPr>
          <w:rFonts w:asciiTheme="majorHAnsi" w:hAnsiTheme="majorHAnsi"/>
          <w:b/>
          <w:u w:val="single"/>
        </w:rPr>
        <w:t>FINANCING SUPPORT</w:t>
      </w:r>
      <w:r w:rsidRPr="008A7742">
        <w:rPr>
          <w:rFonts w:asciiTheme="majorHAnsi" w:hAnsiTheme="majorHAnsi"/>
          <w:b/>
          <w:u w:val="single"/>
        </w:rPr>
        <w:t xml:space="preserve"> </w:t>
      </w:r>
    </w:p>
    <w:p w:rsidR="00B361E4" w:rsidRDefault="00B361E4" w:rsidP="00480D56">
      <w:pPr>
        <w:spacing w:line="276" w:lineRule="auto"/>
        <w:rPr>
          <w:rFonts w:asciiTheme="majorHAnsi" w:hAnsiTheme="majorHAnsi"/>
        </w:rPr>
      </w:pPr>
      <w:r w:rsidRPr="00480D56">
        <w:rPr>
          <w:rFonts w:asciiTheme="majorHAnsi" w:hAnsiTheme="majorHAnsi"/>
          <w:b/>
          <w:i/>
        </w:rPr>
        <w:t xml:space="preserve"> </w:t>
      </w:r>
      <w:r w:rsidRPr="00480D56">
        <w:rPr>
          <w:rFonts w:asciiTheme="majorHAnsi" w:hAnsiTheme="majorHAnsi"/>
        </w:rPr>
        <w:t xml:space="preserve">CPSF may be able to encourage new construction of renewable facilities if it is willing and able to provide support for project financing, </w:t>
      </w:r>
      <w:r w:rsidR="001B5445">
        <w:rPr>
          <w:rFonts w:asciiTheme="majorHAnsi" w:hAnsiTheme="majorHAnsi"/>
        </w:rPr>
        <w:t>e.g.</w:t>
      </w:r>
      <w:r w:rsidRPr="00480D56">
        <w:rPr>
          <w:rFonts w:asciiTheme="majorHAnsi" w:hAnsiTheme="majorHAnsi"/>
        </w:rPr>
        <w:t xml:space="preserve"> with loan guarantees, interest rate buy-downs or on-bill repayment opportunities. </w:t>
      </w:r>
      <w:r w:rsidR="001B5445">
        <w:rPr>
          <w:rFonts w:asciiTheme="majorHAnsi" w:hAnsiTheme="majorHAnsi"/>
        </w:rPr>
        <w:t>SFE</w:t>
      </w:r>
      <w:r w:rsidRPr="00480D56">
        <w:rPr>
          <w:rFonts w:asciiTheme="majorHAnsi" w:hAnsiTheme="majorHAnsi"/>
        </w:rPr>
        <w:t xml:space="preserve"> and other government agencies have developed related products </w:t>
      </w:r>
      <w:r w:rsidR="001B5445">
        <w:rPr>
          <w:rFonts w:asciiTheme="majorHAnsi" w:hAnsiTheme="majorHAnsi"/>
        </w:rPr>
        <w:t xml:space="preserve">and mechanisms </w:t>
      </w:r>
      <w:r w:rsidRPr="00480D56">
        <w:rPr>
          <w:rFonts w:asciiTheme="majorHAnsi" w:hAnsiTheme="majorHAnsi"/>
        </w:rPr>
        <w:t xml:space="preserve">that CPSF customers and </w:t>
      </w:r>
      <w:r w:rsidR="001B5445">
        <w:rPr>
          <w:rFonts w:asciiTheme="majorHAnsi" w:hAnsiTheme="majorHAnsi"/>
        </w:rPr>
        <w:t>contractors</w:t>
      </w:r>
      <w:r w:rsidR="001B5445" w:rsidRPr="00480D56">
        <w:rPr>
          <w:rFonts w:asciiTheme="majorHAnsi" w:hAnsiTheme="majorHAnsi"/>
        </w:rPr>
        <w:t xml:space="preserve"> </w:t>
      </w:r>
      <w:r w:rsidRPr="00480D56">
        <w:rPr>
          <w:rFonts w:asciiTheme="majorHAnsi" w:hAnsiTheme="majorHAnsi"/>
        </w:rPr>
        <w:t>may be able to leverage.</w:t>
      </w:r>
    </w:p>
    <w:p w:rsidR="00735550" w:rsidRDefault="00735550" w:rsidP="00480D56">
      <w:pPr>
        <w:spacing w:line="276" w:lineRule="auto"/>
        <w:rPr>
          <w:rFonts w:asciiTheme="majorHAnsi" w:hAnsiTheme="majorHAnsi"/>
        </w:rPr>
      </w:pPr>
    </w:p>
    <w:p w:rsidR="00735550" w:rsidRPr="00B23EE4" w:rsidRDefault="00735550" w:rsidP="00480D56">
      <w:pPr>
        <w:spacing w:line="276" w:lineRule="auto"/>
        <w:rPr>
          <w:rFonts w:asciiTheme="majorHAnsi" w:hAnsiTheme="majorHAnsi"/>
          <w:b/>
          <w:i/>
        </w:rPr>
      </w:pPr>
      <w:r>
        <w:rPr>
          <w:rFonts w:asciiTheme="majorHAnsi" w:hAnsiTheme="majorHAnsi"/>
        </w:rPr>
        <w:t>CPSF may also be able to issue bonds that would support local build-out once it is able to demonstrate a steady stream of revenue, probably after 2-3 years of program operation.</w:t>
      </w:r>
    </w:p>
    <w:p w:rsidR="00B361E4" w:rsidRPr="00104C4F" w:rsidRDefault="00B361E4" w:rsidP="00B361E4">
      <w:pPr>
        <w:pStyle w:val="ListParagraph"/>
        <w:rPr>
          <w:rFonts w:asciiTheme="majorHAnsi" w:hAnsiTheme="majorHAnsi"/>
        </w:rPr>
      </w:pPr>
    </w:p>
    <w:p w:rsidR="00B361E4" w:rsidRPr="00104C4F" w:rsidRDefault="001B5445" w:rsidP="00B361E4">
      <w:pPr>
        <w:rPr>
          <w:rFonts w:asciiTheme="majorHAnsi" w:hAnsiTheme="majorHAnsi"/>
          <w:b/>
          <w:i/>
        </w:rPr>
      </w:pPr>
      <w:r>
        <w:rPr>
          <w:rFonts w:asciiTheme="majorHAnsi" w:hAnsiTheme="majorHAnsi"/>
          <w:b/>
          <w:i/>
        </w:rPr>
        <w:t>Potential Concerns:</w:t>
      </w:r>
    </w:p>
    <w:p w:rsidR="00735550" w:rsidRDefault="00735550" w:rsidP="00B361E4">
      <w:pPr>
        <w:pStyle w:val="ListParagraph"/>
        <w:numPr>
          <w:ilvl w:val="0"/>
          <w:numId w:val="35"/>
        </w:numPr>
        <w:spacing w:line="276" w:lineRule="auto"/>
        <w:rPr>
          <w:rFonts w:asciiTheme="majorHAnsi" w:hAnsiTheme="majorHAnsi"/>
        </w:rPr>
      </w:pPr>
      <w:r>
        <w:rPr>
          <w:rFonts w:asciiTheme="majorHAnsi" w:hAnsiTheme="majorHAnsi"/>
        </w:rPr>
        <w:t>Program design that will assure pay-back of CPSF bonds;</w:t>
      </w:r>
    </w:p>
    <w:p w:rsidR="00B361E4" w:rsidRPr="00104C4F" w:rsidRDefault="00B361E4" w:rsidP="00B361E4">
      <w:pPr>
        <w:pStyle w:val="ListParagraph"/>
        <w:numPr>
          <w:ilvl w:val="0"/>
          <w:numId w:val="35"/>
        </w:numPr>
        <w:spacing w:line="276" w:lineRule="auto"/>
        <w:rPr>
          <w:rFonts w:asciiTheme="majorHAnsi" w:hAnsiTheme="majorHAnsi"/>
        </w:rPr>
      </w:pPr>
      <w:r w:rsidRPr="00104C4F">
        <w:rPr>
          <w:rFonts w:asciiTheme="majorHAnsi" w:hAnsiTheme="majorHAnsi"/>
        </w:rPr>
        <w:t>Whether and how to take advantage of existing programs designed to support financing of renewable projects;</w:t>
      </w:r>
    </w:p>
    <w:p w:rsidR="00B361E4" w:rsidRDefault="00B361E4" w:rsidP="00B361E4">
      <w:pPr>
        <w:pStyle w:val="ListParagraph"/>
        <w:numPr>
          <w:ilvl w:val="0"/>
          <w:numId w:val="35"/>
        </w:numPr>
        <w:spacing w:line="276" w:lineRule="auto"/>
        <w:rPr>
          <w:rFonts w:asciiTheme="majorHAnsi" w:hAnsiTheme="majorHAnsi"/>
        </w:rPr>
      </w:pPr>
      <w:r w:rsidRPr="00104C4F">
        <w:rPr>
          <w:rFonts w:asciiTheme="majorHAnsi" w:hAnsiTheme="majorHAnsi"/>
        </w:rPr>
        <w:t xml:space="preserve">Whether and how to </w:t>
      </w:r>
      <w:r w:rsidR="001B5445">
        <w:rPr>
          <w:rFonts w:asciiTheme="majorHAnsi" w:hAnsiTheme="majorHAnsi"/>
        </w:rPr>
        <w:t xml:space="preserve">directly provide financing </w:t>
      </w:r>
      <w:r w:rsidRPr="00104C4F">
        <w:rPr>
          <w:rFonts w:asciiTheme="majorHAnsi" w:hAnsiTheme="majorHAnsi"/>
        </w:rPr>
        <w:t xml:space="preserve">support </w:t>
      </w:r>
      <w:r w:rsidR="001B5445">
        <w:rPr>
          <w:rFonts w:asciiTheme="majorHAnsi" w:hAnsiTheme="majorHAnsi"/>
        </w:rPr>
        <w:t xml:space="preserve">to new or </w:t>
      </w:r>
      <w:r w:rsidRPr="00104C4F">
        <w:rPr>
          <w:rFonts w:asciiTheme="majorHAnsi" w:hAnsiTheme="majorHAnsi"/>
        </w:rPr>
        <w:t xml:space="preserve">existing </w:t>
      </w:r>
      <w:r w:rsidR="001B5445">
        <w:rPr>
          <w:rFonts w:asciiTheme="majorHAnsi" w:hAnsiTheme="majorHAnsi"/>
        </w:rPr>
        <w:t>projects.</w:t>
      </w:r>
    </w:p>
    <w:p w:rsidR="006176CA" w:rsidRDefault="006176CA" w:rsidP="006176CA">
      <w:pPr>
        <w:spacing w:line="276" w:lineRule="auto"/>
        <w:rPr>
          <w:rFonts w:asciiTheme="majorHAnsi" w:hAnsiTheme="majorHAnsi"/>
        </w:rPr>
      </w:pPr>
    </w:p>
    <w:p w:rsidR="006176CA" w:rsidRPr="006176CA" w:rsidRDefault="006176CA" w:rsidP="006176CA">
      <w:pPr>
        <w:spacing w:line="276" w:lineRule="auto"/>
        <w:rPr>
          <w:rFonts w:asciiTheme="majorHAnsi" w:hAnsiTheme="majorHAnsi"/>
          <w:b/>
          <w:i/>
        </w:rPr>
      </w:pPr>
      <w:r w:rsidRPr="006176CA">
        <w:rPr>
          <w:rFonts w:asciiTheme="majorHAnsi" w:hAnsiTheme="majorHAnsi"/>
          <w:b/>
          <w:i/>
        </w:rPr>
        <w:t xml:space="preserve">STRATEGY #9:  CPSF </w:t>
      </w:r>
      <w:r w:rsidR="002007B3">
        <w:rPr>
          <w:rFonts w:asciiTheme="majorHAnsi" w:hAnsiTheme="majorHAnsi"/>
          <w:b/>
          <w:i/>
        </w:rPr>
        <w:t>will</w:t>
      </w:r>
      <w:r w:rsidRPr="006176CA">
        <w:rPr>
          <w:rFonts w:asciiTheme="majorHAnsi" w:hAnsiTheme="majorHAnsi"/>
          <w:b/>
          <w:i/>
        </w:rPr>
        <w:t xml:space="preserve"> investigate ways to leverage existing programs and policies that support project financing</w:t>
      </w:r>
      <w:r>
        <w:rPr>
          <w:rFonts w:asciiTheme="majorHAnsi" w:hAnsiTheme="majorHAnsi"/>
          <w:b/>
          <w:i/>
        </w:rPr>
        <w:t xml:space="preserve"> and </w:t>
      </w:r>
      <w:r w:rsidR="00735550">
        <w:rPr>
          <w:rFonts w:asciiTheme="majorHAnsi" w:hAnsiTheme="majorHAnsi"/>
          <w:b/>
          <w:i/>
        </w:rPr>
        <w:t xml:space="preserve">to </w:t>
      </w:r>
      <w:r>
        <w:rPr>
          <w:rFonts w:asciiTheme="majorHAnsi" w:hAnsiTheme="majorHAnsi"/>
          <w:b/>
          <w:i/>
        </w:rPr>
        <w:t>consider proposals by individual projects for CPSF to provide financing support</w:t>
      </w:r>
      <w:r w:rsidRPr="006176CA">
        <w:rPr>
          <w:rFonts w:asciiTheme="majorHAnsi" w:hAnsiTheme="majorHAnsi"/>
          <w:b/>
          <w:i/>
        </w:rPr>
        <w:t>.</w:t>
      </w:r>
      <w:r w:rsidR="00735550">
        <w:rPr>
          <w:rFonts w:asciiTheme="majorHAnsi" w:hAnsiTheme="majorHAnsi"/>
          <w:b/>
          <w:i/>
        </w:rPr>
        <w:t xml:space="preserve"> CPSF </w:t>
      </w:r>
      <w:r w:rsidR="002007B3">
        <w:rPr>
          <w:rFonts w:asciiTheme="majorHAnsi" w:hAnsiTheme="majorHAnsi"/>
          <w:b/>
          <w:i/>
        </w:rPr>
        <w:t xml:space="preserve">will develop </w:t>
      </w:r>
      <w:r w:rsidR="00735550">
        <w:rPr>
          <w:rFonts w:asciiTheme="majorHAnsi" w:hAnsiTheme="majorHAnsi"/>
          <w:b/>
          <w:i/>
        </w:rPr>
        <w:t>plans to issue bonds at a time, in amounts and for projects that minimize risk to the City and the CCA.</w:t>
      </w:r>
    </w:p>
    <w:p w:rsidR="00E4785F" w:rsidRDefault="00E4785F" w:rsidP="00E4785F">
      <w:pPr>
        <w:spacing w:line="276" w:lineRule="auto"/>
        <w:rPr>
          <w:rFonts w:asciiTheme="majorHAnsi" w:hAnsiTheme="majorHAnsi"/>
        </w:rPr>
      </w:pPr>
    </w:p>
    <w:tbl>
      <w:tblPr>
        <w:tblW w:w="0" w:type="auto"/>
        <w:tblCellMar>
          <w:left w:w="0" w:type="dxa"/>
          <w:right w:w="0" w:type="dxa"/>
        </w:tblCellMar>
        <w:tblLook w:val="04A0" w:firstRow="1" w:lastRow="0" w:firstColumn="1" w:lastColumn="0" w:noHBand="0" w:noVBand="1"/>
      </w:tblPr>
      <w:tblGrid>
        <w:gridCol w:w="6768"/>
        <w:gridCol w:w="2808"/>
      </w:tblGrid>
      <w:tr w:rsidR="00E4785F" w:rsidRPr="00104C4F" w:rsidTr="00202614">
        <w:tc>
          <w:tcPr>
            <w:tcW w:w="6768" w:type="dxa"/>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E4785F" w:rsidRPr="00104C4F" w:rsidRDefault="00E4785F" w:rsidP="00202614">
            <w:pPr>
              <w:spacing w:line="288" w:lineRule="auto"/>
              <w:rPr>
                <w:rFonts w:asciiTheme="majorHAnsi" w:hAnsiTheme="majorHAnsi" w:cs="Calibri"/>
                <w:b/>
                <w:bCs/>
                <w:i/>
                <w:iCs/>
              </w:rPr>
            </w:pPr>
            <w:r w:rsidRPr="00104C4F">
              <w:rPr>
                <w:rFonts w:asciiTheme="majorHAnsi" w:hAnsiTheme="majorHAnsi"/>
                <w:b/>
                <w:bCs/>
                <w:i/>
                <w:iCs/>
              </w:rPr>
              <w:t>Work Task</w:t>
            </w:r>
          </w:p>
        </w:tc>
        <w:tc>
          <w:tcPr>
            <w:tcW w:w="2808"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E4785F" w:rsidRPr="00104C4F" w:rsidRDefault="00E4785F" w:rsidP="00202614">
            <w:pPr>
              <w:spacing w:line="288" w:lineRule="auto"/>
              <w:rPr>
                <w:rFonts w:asciiTheme="majorHAnsi" w:hAnsiTheme="majorHAnsi" w:cs="Calibri"/>
                <w:b/>
                <w:bCs/>
                <w:i/>
                <w:iCs/>
              </w:rPr>
            </w:pPr>
            <w:r w:rsidRPr="00104C4F">
              <w:rPr>
                <w:rFonts w:asciiTheme="majorHAnsi" w:hAnsiTheme="majorHAnsi"/>
                <w:b/>
                <w:bCs/>
                <w:i/>
                <w:iCs/>
              </w:rPr>
              <w:t>Timing</w:t>
            </w:r>
          </w:p>
        </w:tc>
      </w:tr>
      <w:tr w:rsidR="00735550" w:rsidRPr="00104C4F" w:rsidTr="0020261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5550" w:rsidRPr="00104C4F" w:rsidRDefault="00735550" w:rsidP="00735550">
            <w:pPr>
              <w:spacing w:line="288" w:lineRule="auto"/>
              <w:rPr>
                <w:rFonts w:asciiTheme="majorHAnsi" w:hAnsiTheme="majorHAnsi"/>
              </w:rPr>
            </w:pPr>
            <w:r>
              <w:rPr>
                <w:rFonts w:asciiTheme="majorHAnsi" w:hAnsiTheme="majorHAnsi"/>
              </w:rPr>
              <w:t>Develop a plan for issuing bonds for types of projects and on a timeline that minimizes risk.</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tcPr>
          <w:p w:rsidR="00735550" w:rsidRDefault="00735550" w:rsidP="00202614">
            <w:pPr>
              <w:spacing w:line="288" w:lineRule="auto"/>
              <w:rPr>
                <w:rFonts w:asciiTheme="majorHAnsi" w:hAnsiTheme="majorHAnsi"/>
              </w:rPr>
            </w:pPr>
            <w:r>
              <w:rPr>
                <w:rFonts w:asciiTheme="majorHAnsi" w:hAnsiTheme="majorHAnsi"/>
              </w:rPr>
              <w:t>Year 1 and beyond</w:t>
            </w:r>
          </w:p>
        </w:tc>
      </w:tr>
      <w:tr w:rsidR="00E4785F" w:rsidRPr="00104C4F" w:rsidTr="0020261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785F" w:rsidRPr="00104C4F" w:rsidRDefault="00E4785F" w:rsidP="00202614">
            <w:pPr>
              <w:spacing w:line="288" w:lineRule="auto"/>
              <w:rPr>
                <w:rFonts w:asciiTheme="majorHAnsi" w:hAnsiTheme="majorHAnsi" w:cs="Calibri"/>
              </w:rPr>
            </w:pPr>
            <w:r w:rsidRPr="00104C4F">
              <w:rPr>
                <w:rFonts w:asciiTheme="majorHAnsi" w:hAnsiTheme="majorHAnsi"/>
              </w:rPr>
              <w:t>Investigate opportunities for financing of renewable projects by leveraging existing programs or helping to support the development of new ones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785F" w:rsidRPr="00104C4F" w:rsidRDefault="00E4785F" w:rsidP="00202614">
            <w:pPr>
              <w:spacing w:line="288" w:lineRule="auto"/>
              <w:rPr>
                <w:rFonts w:asciiTheme="majorHAnsi" w:hAnsiTheme="majorHAnsi" w:cs="Calibri"/>
              </w:rPr>
            </w:pPr>
            <w:r>
              <w:rPr>
                <w:rFonts w:asciiTheme="majorHAnsi" w:hAnsiTheme="majorHAnsi"/>
              </w:rPr>
              <w:t>Ongoing</w:t>
            </w:r>
          </w:p>
        </w:tc>
      </w:tr>
      <w:tr w:rsidR="00E4785F" w:rsidRPr="00104C4F" w:rsidTr="00202614">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785F" w:rsidRPr="00104C4F" w:rsidRDefault="00E4785F" w:rsidP="00202614">
            <w:pPr>
              <w:spacing w:line="288" w:lineRule="auto"/>
              <w:rPr>
                <w:rFonts w:asciiTheme="majorHAnsi" w:hAnsiTheme="majorHAnsi"/>
              </w:rPr>
            </w:pPr>
            <w:r w:rsidRPr="00104C4F">
              <w:rPr>
                <w:rFonts w:asciiTheme="majorHAnsi" w:hAnsiTheme="majorHAnsi"/>
              </w:rPr>
              <w:t xml:space="preserve">Investigate whether CPSF can </w:t>
            </w:r>
            <w:r>
              <w:rPr>
                <w:rFonts w:asciiTheme="majorHAnsi" w:hAnsiTheme="majorHAnsi"/>
              </w:rPr>
              <w:t xml:space="preserve">directly </w:t>
            </w:r>
            <w:r w:rsidRPr="00104C4F">
              <w:rPr>
                <w:rFonts w:asciiTheme="majorHAnsi" w:hAnsiTheme="majorHAnsi"/>
              </w:rPr>
              <w:t>support individual project development with financial support mechanisms as contract components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tcPr>
          <w:p w:rsidR="00E4785F" w:rsidRDefault="00E4785F" w:rsidP="00202614">
            <w:pPr>
              <w:spacing w:line="288" w:lineRule="auto"/>
              <w:rPr>
                <w:rFonts w:asciiTheme="majorHAnsi" w:hAnsiTheme="majorHAnsi"/>
              </w:rPr>
            </w:pPr>
            <w:r>
              <w:rPr>
                <w:rFonts w:asciiTheme="majorHAnsi" w:hAnsiTheme="majorHAnsi"/>
              </w:rPr>
              <w:t>Ongoing</w:t>
            </w:r>
          </w:p>
        </w:tc>
      </w:tr>
    </w:tbl>
    <w:p w:rsidR="00B361E4" w:rsidRPr="00104C4F" w:rsidRDefault="00B361E4" w:rsidP="00B361E4">
      <w:pPr>
        <w:rPr>
          <w:rFonts w:asciiTheme="majorHAnsi" w:hAnsiTheme="majorHAnsi"/>
        </w:rPr>
      </w:pPr>
    </w:p>
    <w:p w:rsidR="00E4785F" w:rsidRDefault="00C03A75" w:rsidP="00A574C6">
      <w:pPr>
        <w:spacing w:line="276" w:lineRule="auto"/>
        <w:ind w:firstLine="720"/>
        <w:rPr>
          <w:rFonts w:asciiTheme="majorHAnsi" w:hAnsiTheme="majorHAnsi"/>
        </w:rPr>
      </w:pPr>
      <w:r>
        <w:rPr>
          <w:rFonts w:asciiTheme="majorHAnsi" w:hAnsiTheme="majorHAnsi"/>
          <w:b/>
          <w:u w:val="single"/>
        </w:rPr>
        <w:t>FEED-IN TARIFFS</w:t>
      </w:r>
      <w:r w:rsidR="00E4785F" w:rsidRPr="008A7742">
        <w:rPr>
          <w:rFonts w:asciiTheme="majorHAnsi" w:hAnsiTheme="majorHAnsi"/>
          <w:b/>
          <w:u w:val="single"/>
        </w:rPr>
        <w:t xml:space="preserve"> AND POWER PURCHASE AGREEMENTS</w:t>
      </w:r>
      <w:r w:rsidR="00E4785F">
        <w:rPr>
          <w:rFonts w:asciiTheme="majorHAnsi" w:hAnsiTheme="majorHAnsi"/>
          <w:b/>
          <w:u w:val="single"/>
        </w:rPr>
        <w:t xml:space="preserve"> (PPAs)</w:t>
      </w:r>
      <w:r w:rsidR="00B361E4" w:rsidRPr="00E4785F">
        <w:rPr>
          <w:rFonts w:asciiTheme="majorHAnsi" w:hAnsiTheme="majorHAnsi"/>
        </w:rPr>
        <w:t xml:space="preserve">  </w:t>
      </w:r>
    </w:p>
    <w:p w:rsidR="00B361E4" w:rsidRDefault="00B361E4" w:rsidP="00E4785F">
      <w:pPr>
        <w:spacing w:line="276" w:lineRule="auto"/>
        <w:rPr>
          <w:rFonts w:asciiTheme="majorHAnsi" w:hAnsiTheme="majorHAnsi"/>
        </w:rPr>
      </w:pPr>
      <w:r w:rsidRPr="00E4785F">
        <w:rPr>
          <w:rFonts w:asciiTheme="majorHAnsi" w:hAnsiTheme="majorHAnsi"/>
        </w:rPr>
        <w:t xml:space="preserve">One way to promote development of local energy resources is to assure a payment stream for power purchases. CPSF can publish Requests for Proposals (RFPs) that describe the kinds of resources needed and create a competitive bidding process.  Winning bidders would sell power to CPSF according to negotiated </w:t>
      </w:r>
      <w:r w:rsidR="00E4785F">
        <w:rPr>
          <w:rFonts w:asciiTheme="majorHAnsi" w:hAnsiTheme="majorHAnsi"/>
        </w:rPr>
        <w:t>PPAs</w:t>
      </w:r>
      <w:r w:rsidRPr="00E4785F">
        <w:rPr>
          <w:rFonts w:asciiTheme="majorHAnsi" w:hAnsiTheme="majorHAnsi"/>
        </w:rPr>
        <w:t>, which may include terms tailored to the needs CPSF</w:t>
      </w:r>
      <w:r w:rsidR="00E4785F">
        <w:rPr>
          <w:rFonts w:asciiTheme="majorHAnsi" w:hAnsiTheme="majorHAnsi"/>
        </w:rPr>
        <w:t xml:space="preserve"> and/or the specific project</w:t>
      </w:r>
      <w:r w:rsidRPr="00E4785F">
        <w:rPr>
          <w:rFonts w:asciiTheme="majorHAnsi" w:hAnsiTheme="majorHAnsi"/>
        </w:rPr>
        <w:t xml:space="preserve"> (for example, different pricing terms depending on power delivery times).  For small projects (usually less than 1 MW), “feed-in</w:t>
      </w:r>
      <w:r w:rsidR="00E4785F">
        <w:rPr>
          <w:rFonts w:asciiTheme="majorHAnsi" w:hAnsiTheme="majorHAnsi"/>
        </w:rPr>
        <w:t>-</w:t>
      </w:r>
      <w:r w:rsidRPr="00E4785F">
        <w:rPr>
          <w:rFonts w:asciiTheme="majorHAnsi" w:hAnsiTheme="majorHAnsi"/>
        </w:rPr>
        <w:t>tariffs</w:t>
      </w:r>
      <w:r w:rsidR="00E4785F">
        <w:rPr>
          <w:rFonts w:asciiTheme="majorHAnsi" w:hAnsiTheme="majorHAnsi"/>
        </w:rPr>
        <w:t>”</w:t>
      </w:r>
      <w:r w:rsidRPr="00E4785F">
        <w:rPr>
          <w:rFonts w:asciiTheme="majorHAnsi" w:hAnsiTheme="majorHAnsi"/>
        </w:rPr>
        <w:t xml:space="preserve"> are standardized contracts for purchased power that </w:t>
      </w:r>
      <w:r w:rsidR="00E4785F">
        <w:rPr>
          <w:rFonts w:asciiTheme="majorHAnsi" w:hAnsiTheme="majorHAnsi"/>
        </w:rPr>
        <w:t>typically do</w:t>
      </w:r>
      <w:r w:rsidR="00E4785F" w:rsidRPr="00E4785F">
        <w:rPr>
          <w:rFonts w:asciiTheme="majorHAnsi" w:hAnsiTheme="majorHAnsi"/>
        </w:rPr>
        <w:t xml:space="preserve"> </w:t>
      </w:r>
      <w:r w:rsidRPr="00E4785F">
        <w:rPr>
          <w:rFonts w:asciiTheme="majorHAnsi" w:hAnsiTheme="majorHAnsi"/>
        </w:rPr>
        <w:t xml:space="preserve">not require an elaborate or lengthy RFP process.  </w:t>
      </w:r>
    </w:p>
    <w:p w:rsidR="00E4785F" w:rsidRPr="00E4785F" w:rsidRDefault="00E4785F" w:rsidP="00E4785F">
      <w:pPr>
        <w:spacing w:line="276" w:lineRule="auto"/>
        <w:rPr>
          <w:rFonts w:asciiTheme="majorHAnsi" w:hAnsiTheme="majorHAnsi"/>
        </w:rPr>
      </w:pPr>
    </w:p>
    <w:p w:rsidR="00B361E4" w:rsidRPr="00104C4F" w:rsidRDefault="008A7742" w:rsidP="00B361E4">
      <w:pPr>
        <w:rPr>
          <w:rFonts w:asciiTheme="majorHAnsi" w:hAnsiTheme="majorHAnsi"/>
          <w:b/>
          <w:i/>
        </w:rPr>
      </w:pPr>
      <w:r>
        <w:rPr>
          <w:rFonts w:asciiTheme="majorHAnsi" w:hAnsiTheme="majorHAnsi"/>
          <w:b/>
          <w:i/>
        </w:rPr>
        <w:t>Potential Concerns:</w:t>
      </w:r>
    </w:p>
    <w:p w:rsidR="00B361E4" w:rsidRPr="00104C4F" w:rsidRDefault="00B361E4" w:rsidP="00B361E4">
      <w:pPr>
        <w:pStyle w:val="ListParagraph"/>
        <w:numPr>
          <w:ilvl w:val="0"/>
          <w:numId w:val="32"/>
        </w:numPr>
        <w:spacing w:line="276" w:lineRule="auto"/>
        <w:rPr>
          <w:rFonts w:asciiTheme="majorHAnsi" w:hAnsiTheme="majorHAnsi"/>
        </w:rPr>
      </w:pPr>
      <w:r w:rsidRPr="00104C4F">
        <w:rPr>
          <w:rFonts w:asciiTheme="majorHAnsi" w:hAnsiTheme="majorHAnsi"/>
        </w:rPr>
        <w:t xml:space="preserve">Whether CPSF </w:t>
      </w:r>
      <w:r w:rsidR="006176CA">
        <w:rPr>
          <w:rFonts w:asciiTheme="majorHAnsi" w:hAnsiTheme="majorHAnsi"/>
        </w:rPr>
        <w:t xml:space="preserve">feed-in tariffs or RFPs for power </w:t>
      </w:r>
      <w:r w:rsidRPr="00104C4F">
        <w:rPr>
          <w:rFonts w:asciiTheme="majorHAnsi" w:hAnsiTheme="majorHAnsi"/>
        </w:rPr>
        <w:t>should specify project characteristics such as size, technologies or dispatchability;</w:t>
      </w:r>
    </w:p>
    <w:p w:rsidR="006176CA" w:rsidRDefault="006176CA" w:rsidP="00B361E4">
      <w:pPr>
        <w:pStyle w:val="ListParagraph"/>
        <w:numPr>
          <w:ilvl w:val="0"/>
          <w:numId w:val="32"/>
        </w:numPr>
        <w:spacing w:line="276" w:lineRule="auto"/>
        <w:rPr>
          <w:rFonts w:asciiTheme="majorHAnsi" w:hAnsiTheme="majorHAnsi"/>
        </w:rPr>
      </w:pPr>
      <w:r>
        <w:rPr>
          <w:rFonts w:asciiTheme="majorHAnsi" w:hAnsiTheme="majorHAnsi"/>
        </w:rPr>
        <w:t>Whether CPSF feed-in tariffs or RFPs for power should specify labor arrangements;</w:t>
      </w:r>
    </w:p>
    <w:p w:rsidR="00B361E4" w:rsidRPr="00104C4F" w:rsidRDefault="006176CA" w:rsidP="00B361E4">
      <w:pPr>
        <w:pStyle w:val="ListParagraph"/>
        <w:numPr>
          <w:ilvl w:val="0"/>
          <w:numId w:val="32"/>
        </w:numPr>
        <w:spacing w:line="276" w:lineRule="auto"/>
        <w:rPr>
          <w:rFonts w:asciiTheme="majorHAnsi" w:hAnsiTheme="majorHAnsi"/>
        </w:rPr>
      </w:pPr>
      <w:r>
        <w:rPr>
          <w:rFonts w:asciiTheme="majorHAnsi" w:hAnsiTheme="majorHAnsi"/>
        </w:rPr>
        <w:t>W</w:t>
      </w:r>
      <w:r w:rsidR="00B361E4" w:rsidRPr="00104C4F">
        <w:rPr>
          <w:rFonts w:asciiTheme="majorHAnsi" w:hAnsiTheme="majorHAnsi"/>
        </w:rPr>
        <w:t>hether CPSF should limit projects to those constructed within City-County boundaries</w:t>
      </w:r>
      <w:r w:rsidR="008A7742">
        <w:rPr>
          <w:rFonts w:asciiTheme="majorHAnsi" w:hAnsiTheme="majorHAnsi"/>
        </w:rPr>
        <w:t>;</w:t>
      </w:r>
    </w:p>
    <w:p w:rsidR="008A7742" w:rsidRDefault="00B361E4" w:rsidP="00B361E4">
      <w:pPr>
        <w:pStyle w:val="ListParagraph"/>
        <w:numPr>
          <w:ilvl w:val="0"/>
          <w:numId w:val="32"/>
        </w:numPr>
        <w:spacing w:line="276" w:lineRule="auto"/>
        <w:rPr>
          <w:rFonts w:asciiTheme="majorHAnsi" w:hAnsiTheme="majorHAnsi"/>
        </w:rPr>
      </w:pPr>
      <w:r w:rsidRPr="00104C4F">
        <w:rPr>
          <w:rFonts w:asciiTheme="majorHAnsi" w:hAnsiTheme="majorHAnsi"/>
        </w:rPr>
        <w:t>When CPSF should issue RFPs</w:t>
      </w:r>
      <w:r w:rsidR="008A7742">
        <w:rPr>
          <w:rFonts w:asciiTheme="majorHAnsi" w:hAnsiTheme="majorHAnsi"/>
        </w:rPr>
        <w:t>.</w:t>
      </w:r>
    </w:p>
    <w:p w:rsidR="006176CA" w:rsidRDefault="006176CA" w:rsidP="006176CA">
      <w:pPr>
        <w:spacing w:line="276" w:lineRule="auto"/>
        <w:rPr>
          <w:rFonts w:asciiTheme="majorHAnsi" w:hAnsiTheme="majorHAnsi"/>
        </w:rPr>
      </w:pPr>
    </w:p>
    <w:p w:rsidR="006176CA" w:rsidRPr="006176CA" w:rsidRDefault="006176CA" w:rsidP="006176CA">
      <w:pPr>
        <w:spacing w:line="276" w:lineRule="auto"/>
        <w:rPr>
          <w:rFonts w:asciiTheme="majorHAnsi" w:hAnsiTheme="majorHAnsi"/>
          <w:b/>
          <w:i/>
        </w:rPr>
      </w:pPr>
      <w:r w:rsidRPr="006176CA">
        <w:rPr>
          <w:rFonts w:asciiTheme="majorHAnsi" w:hAnsiTheme="majorHAnsi"/>
          <w:b/>
          <w:i/>
        </w:rPr>
        <w:t>STRATEGY #</w:t>
      </w:r>
      <w:r w:rsidR="00735550">
        <w:rPr>
          <w:rFonts w:asciiTheme="majorHAnsi" w:hAnsiTheme="majorHAnsi"/>
          <w:b/>
          <w:i/>
        </w:rPr>
        <w:t>10</w:t>
      </w:r>
      <w:r w:rsidRPr="006176CA">
        <w:rPr>
          <w:rFonts w:asciiTheme="majorHAnsi" w:hAnsiTheme="majorHAnsi"/>
          <w:b/>
          <w:i/>
        </w:rPr>
        <w:t xml:space="preserve">:  CPSF </w:t>
      </w:r>
      <w:r w:rsidR="002007B3">
        <w:rPr>
          <w:rFonts w:asciiTheme="majorHAnsi" w:hAnsiTheme="majorHAnsi"/>
          <w:b/>
          <w:i/>
        </w:rPr>
        <w:t>will</w:t>
      </w:r>
      <w:r w:rsidRPr="006176CA">
        <w:rPr>
          <w:rFonts w:asciiTheme="majorHAnsi" w:hAnsiTheme="majorHAnsi"/>
          <w:b/>
          <w:i/>
        </w:rPr>
        <w:t xml:space="preserve"> design power purchase agreements and feed-in tariffs to encourage innovative technologies installed at sites within the City and City-controlled sites.</w:t>
      </w:r>
      <w:r>
        <w:rPr>
          <w:rFonts w:asciiTheme="majorHAnsi" w:hAnsiTheme="majorHAnsi"/>
          <w:b/>
          <w:i/>
        </w:rPr>
        <w:t xml:space="preserve">  CPSF will design RFPs consistent with City policy and practices with regard to labor arra</w:t>
      </w:r>
      <w:r w:rsidR="00735550">
        <w:rPr>
          <w:rFonts w:asciiTheme="majorHAnsi" w:hAnsiTheme="majorHAnsi"/>
          <w:b/>
          <w:i/>
        </w:rPr>
        <w:t>n</w:t>
      </w:r>
      <w:r>
        <w:rPr>
          <w:rFonts w:asciiTheme="majorHAnsi" w:hAnsiTheme="majorHAnsi"/>
          <w:b/>
          <w:i/>
        </w:rPr>
        <w:t>gements.</w:t>
      </w:r>
    </w:p>
    <w:p w:rsidR="008A7742" w:rsidRDefault="008A7742" w:rsidP="008A7742">
      <w:pPr>
        <w:spacing w:line="276" w:lineRule="auto"/>
        <w:rPr>
          <w:rFonts w:asciiTheme="majorHAnsi" w:hAnsiTheme="majorHAnsi"/>
        </w:rPr>
      </w:pPr>
    </w:p>
    <w:tbl>
      <w:tblPr>
        <w:tblW w:w="0" w:type="auto"/>
        <w:tblCellMar>
          <w:left w:w="0" w:type="dxa"/>
          <w:right w:w="0" w:type="dxa"/>
        </w:tblCellMar>
        <w:tblLook w:val="04A0" w:firstRow="1" w:lastRow="0" w:firstColumn="1" w:lastColumn="0" w:noHBand="0" w:noVBand="1"/>
      </w:tblPr>
      <w:tblGrid>
        <w:gridCol w:w="6768"/>
        <w:gridCol w:w="2808"/>
      </w:tblGrid>
      <w:tr w:rsidR="008A7742" w:rsidRPr="00104C4F" w:rsidTr="00A574C6">
        <w:tc>
          <w:tcPr>
            <w:tcW w:w="6768" w:type="dxa"/>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8A7742" w:rsidRPr="00104C4F" w:rsidRDefault="008A7742" w:rsidP="00A574C6">
            <w:pPr>
              <w:spacing w:line="288" w:lineRule="auto"/>
              <w:rPr>
                <w:rFonts w:asciiTheme="majorHAnsi" w:hAnsiTheme="majorHAnsi" w:cs="Calibri"/>
                <w:b/>
                <w:bCs/>
                <w:i/>
                <w:iCs/>
              </w:rPr>
            </w:pPr>
            <w:r w:rsidRPr="00104C4F">
              <w:rPr>
                <w:rFonts w:asciiTheme="majorHAnsi" w:hAnsiTheme="majorHAnsi"/>
                <w:b/>
                <w:bCs/>
                <w:i/>
                <w:iCs/>
              </w:rPr>
              <w:t>Work Task</w:t>
            </w:r>
          </w:p>
        </w:tc>
        <w:tc>
          <w:tcPr>
            <w:tcW w:w="2808"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8A7742" w:rsidRPr="00104C4F" w:rsidRDefault="008A7742" w:rsidP="00A574C6">
            <w:pPr>
              <w:spacing w:line="288" w:lineRule="auto"/>
              <w:rPr>
                <w:rFonts w:asciiTheme="majorHAnsi" w:hAnsiTheme="majorHAnsi" w:cs="Calibri"/>
                <w:b/>
                <w:bCs/>
                <w:i/>
                <w:iCs/>
              </w:rPr>
            </w:pPr>
            <w:r w:rsidRPr="00104C4F">
              <w:rPr>
                <w:rFonts w:asciiTheme="majorHAnsi" w:hAnsiTheme="majorHAnsi"/>
                <w:b/>
                <w:bCs/>
                <w:i/>
                <w:iCs/>
              </w:rPr>
              <w:t>Timing</w:t>
            </w:r>
          </w:p>
        </w:tc>
      </w:tr>
      <w:tr w:rsidR="008A7742" w:rsidRPr="00104C4F" w:rsidTr="00A574C6">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742" w:rsidRPr="00104C4F" w:rsidRDefault="008A7742" w:rsidP="00A574C6">
            <w:pPr>
              <w:spacing w:line="288" w:lineRule="auto"/>
              <w:rPr>
                <w:rFonts w:asciiTheme="majorHAnsi" w:hAnsiTheme="majorHAnsi" w:cs="Calibri"/>
              </w:rPr>
            </w:pPr>
            <w:r w:rsidRPr="00104C4F">
              <w:rPr>
                <w:rFonts w:asciiTheme="majorHAnsi" w:hAnsiTheme="majorHAnsi"/>
                <w:bCs/>
              </w:rPr>
              <w:t>Develop RFP for power purchases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742" w:rsidRPr="00104C4F" w:rsidRDefault="008A7742" w:rsidP="00A574C6">
            <w:pPr>
              <w:spacing w:line="288" w:lineRule="auto"/>
              <w:rPr>
                <w:rFonts w:asciiTheme="majorHAnsi" w:hAnsiTheme="majorHAnsi" w:cs="Calibri"/>
              </w:rPr>
            </w:pPr>
            <w:r>
              <w:rPr>
                <w:rFonts w:asciiTheme="majorHAnsi" w:hAnsiTheme="majorHAnsi"/>
                <w:bCs/>
              </w:rPr>
              <w:t>Development ongoing; issuance at launch</w:t>
            </w:r>
          </w:p>
        </w:tc>
      </w:tr>
      <w:tr w:rsidR="008A7742" w:rsidRPr="00104C4F" w:rsidTr="00A574C6">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7742" w:rsidRPr="00104C4F" w:rsidRDefault="008A7742" w:rsidP="00A574C6">
            <w:pPr>
              <w:spacing w:line="288" w:lineRule="auto"/>
              <w:rPr>
                <w:rFonts w:asciiTheme="majorHAnsi" w:hAnsiTheme="majorHAnsi"/>
              </w:rPr>
            </w:pPr>
            <w:r w:rsidRPr="00104C4F">
              <w:rPr>
                <w:rFonts w:asciiTheme="majorHAnsi" w:hAnsiTheme="majorHAnsi"/>
                <w:bCs/>
              </w:rPr>
              <w:t>Develop feed in tariff for power purchases from renewable resources in the City at rates that are comparable to SENA prices for similar products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tcPr>
          <w:p w:rsidR="008A7742" w:rsidRDefault="008A7742" w:rsidP="00A574C6">
            <w:pPr>
              <w:spacing w:line="288" w:lineRule="auto"/>
              <w:rPr>
                <w:rFonts w:asciiTheme="majorHAnsi" w:hAnsiTheme="majorHAnsi"/>
              </w:rPr>
            </w:pPr>
            <w:r>
              <w:rPr>
                <w:rFonts w:asciiTheme="majorHAnsi" w:hAnsiTheme="majorHAnsi"/>
                <w:bCs/>
              </w:rPr>
              <w:t>Development ongoing; issuance at launch</w:t>
            </w:r>
          </w:p>
        </w:tc>
      </w:tr>
    </w:tbl>
    <w:p w:rsidR="00B361E4" w:rsidRPr="004D13EA" w:rsidRDefault="00B361E4" w:rsidP="008A7742">
      <w:pPr>
        <w:spacing w:line="276" w:lineRule="auto"/>
        <w:rPr>
          <w:rFonts w:asciiTheme="majorHAnsi" w:hAnsiTheme="majorHAnsi"/>
        </w:rPr>
      </w:pPr>
    </w:p>
    <w:p w:rsidR="00D246DB" w:rsidRPr="00116FA2" w:rsidRDefault="00D246DB" w:rsidP="00073EA4">
      <w:pPr>
        <w:pStyle w:val="Heading1"/>
        <w:numPr>
          <w:ilvl w:val="0"/>
          <w:numId w:val="0"/>
        </w:numPr>
      </w:pPr>
    </w:p>
    <w:p w:rsidR="00D246DB" w:rsidRPr="00116FA2" w:rsidRDefault="00D246DB" w:rsidP="00073EA4">
      <w:pPr>
        <w:pStyle w:val="Heading1"/>
        <w:rPr>
          <w:color w:val="000000"/>
          <w14:textFill>
            <w14:solidFill>
              <w14:srgbClr w14:val="000000">
                <w14:lumMod w14:val="65000"/>
                <w14:lumOff w14:val="35000"/>
              </w14:srgbClr>
            </w14:solidFill>
          </w14:textFill>
        </w:rPr>
      </w:pPr>
      <w:r>
        <w:t>OTHER ELECTRICITY PRODUCTION AND PURCHASES</w:t>
      </w:r>
    </w:p>
    <w:p w:rsidR="00D246DB" w:rsidRDefault="00D246DB" w:rsidP="007A4878">
      <w:pPr>
        <w:spacing w:line="288" w:lineRule="auto"/>
        <w:rPr>
          <w:rFonts w:asciiTheme="majorHAnsi" w:hAnsiTheme="majorHAnsi"/>
          <w:lang w:bidi="en-US"/>
        </w:rPr>
      </w:pPr>
    </w:p>
    <w:p w:rsidR="007A4878" w:rsidRPr="00104C4F" w:rsidRDefault="007A4878" w:rsidP="007A4878">
      <w:pPr>
        <w:spacing w:line="288" w:lineRule="auto"/>
        <w:rPr>
          <w:rFonts w:asciiTheme="majorHAnsi" w:hAnsiTheme="majorHAnsi"/>
          <w:bCs/>
        </w:rPr>
      </w:pPr>
      <w:r w:rsidRPr="00104C4F">
        <w:rPr>
          <w:rFonts w:asciiTheme="majorHAnsi" w:hAnsiTheme="majorHAnsi"/>
          <w:bCs/>
        </w:rPr>
        <w:t xml:space="preserve">One of the objectives of creating a CCA for the purpose of electricity procurement is to pursue energy resource strategies that </w:t>
      </w:r>
      <w:r w:rsidR="006176CA">
        <w:rPr>
          <w:rFonts w:asciiTheme="majorHAnsi" w:hAnsiTheme="majorHAnsi"/>
          <w:bCs/>
        </w:rPr>
        <w:t>reflect</w:t>
      </w:r>
      <w:r w:rsidR="004F5415" w:rsidRPr="00104C4F">
        <w:rPr>
          <w:rFonts w:asciiTheme="majorHAnsi" w:hAnsiTheme="majorHAnsi"/>
          <w:bCs/>
        </w:rPr>
        <w:t xml:space="preserve"> </w:t>
      </w:r>
      <w:r w:rsidRPr="00104C4F">
        <w:rPr>
          <w:rFonts w:asciiTheme="majorHAnsi" w:hAnsiTheme="majorHAnsi"/>
          <w:bCs/>
        </w:rPr>
        <w:t xml:space="preserve">local values and </w:t>
      </w:r>
      <w:r w:rsidR="006176CA">
        <w:rPr>
          <w:rFonts w:asciiTheme="majorHAnsi" w:hAnsiTheme="majorHAnsi"/>
          <w:bCs/>
        </w:rPr>
        <w:t>support</w:t>
      </w:r>
      <w:r w:rsidR="004F5415">
        <w:rPr>
          <w:rFonts w:asciiTheme="majorHAnsi" w:hAnsiTheme="majorHAnsi"/>
          <w:bCs/>
        </w:rPr>
        <w:t xml:space="preserve"> </w:t>
      </w:r>
      <w:r w:rsidRPr="00104C4F">
        <w:rPr>
          <w:rFonts w:asciiTheme="majorHAnsi" w:hAnsiTheme="majorHAnsi"/>
          <w:bCs/>
        </w:rPr>
        <w:t xml:space="preserve">the local economy.   </w:t>
      </w:r>
    </w:p>
    <w:p w:rsidR="007A4878" w:rsidRPr="00104C4F" w:rsidRDefault="007A4878" w:rsidP="007A4878">
      <w:pPr>
        <w:spacing w:line="288" w:lineRule="auto"/>
        <w:rPr>
          <w:rFonts w:asciiTheme="majorHAnsi" w:hAnsiTheme="majorHAnsi"/>
          <w:b/>
          <w:bCs/>
        </w:rPr>
      </w:pPr>
    </w:p>
    <w:p w:rsidR="004F5415" w:rsidRPr="00BF7139" w:rsidRDefault="004F5415" w:rsidP="007829E8">
      <w:pPr>
        <w:spacing w:line="288" w:lineRule="auto"/>
        <w:ind w:left="720"/>
        <w:rPr>
          <w:rFonts w:asciiTheme="majorHAnsi" w:hAnsiTheme="majorHAnsi"/>
          <w:b/>
          <w:bCs/>
          <w:u w:val="single"/>
        </w:rPr>
      </w:pPr>
      <w:r w:rsidRPr="004F5415">
        <w:rPr>
          <w:rFonts w:asciiTheme="majorHAnsi" w:hAnsiTheme="majorHAnsi"/>
          <w:b/>
          <w:bCs/>
          <w:u w:val="single"/>
        </w:rPr>
        <w:t xml:space="preserve">NON-RENEWABLE LOCAL GENERATION (COMBINED HEAT AND POWER (CHP), FUEL CELLS, BIOMASS, BIOGAS) </w:t>
      </w:r>
    </w:p>
    <w:p w:rsidR="007A4878" w:rsidRPr="007A4878" w:rsidRDefault="007A4878" w:rsidP="007A4878">
      <w:pPr>
        <w:spacing w:line="288" w:lineRule="auto"/>
        <w:rPr>
          <w:rFonts w:asciiTheme="majorHAnsi" w:hAnsiTheme="majorHAnsi"/>
          <w:bCs/>
        </w:rPr>
      </w:pPr>
      <w:r w:rsidRPr="007A4878">
        <w:rPr>
          <w:rFonts w:asciiTheme="majorHAnsi" w:hAnsiTheme="majorHAnsi"/>
          <w:bCs/>
        </w:rPr>
        <w:t>CPSF may have opportunities to purchase local power from facilities that the State of California does not consider “renewable”</w:t>
      </w:r>
      <w:r w:rsidR="004F5415">
        <w:rPr>
          <w:rFonts w:asciiTheme="majorHAnsi" w:hAnsiTheme="majorHAnsi"/>
          <w:bCs/>
        </w:rPr>
        <w:t xml:space="preserve"> under RPS law.</w:t>
      </w:r>
      <w:r w:rsidRPr="007A4878">
        <w:rPr>
          <w:rFonts w:asciiTheme="majorHAnsi" w:hAnsiTheme="majorHAnsi"/>
          <w:bCs/>
        </w:rPr>
        <w:t xml:space="preserve"> </w:t>
      </w:r>
      <w:r w:rsidR="004F5415">
        <w:rPr>
          <w:rFonts w:asciiTheme="majorHAnsi" w:hAnsiTheme="majorHAnsi"/>
          <w:bCs/>
        </w:rPr>
        <w:t>However, t</w:t>
      </w:r>
      <w:r w:rsidRPr="007A4878">
        <w:rPr>
          <w:rFonts w:asciiTheme="majorHAnsi" w:hAnsiTheme="majorHAnsi"/>
          <w:bCs/>
        </w:rPr>
        <w:t xml:space="preserve">hese facilities </w:t>
      </w:r>
      <w:r w:rsidR="004F5415">
        <w:rPr>
          <w:rFonts w:asciiTheme="majorHAnsi" w:hAnsiTheme="majorHAnsi"/>
          <w:bCs/>
        </w:rPr>
        <w:t>provide</w:t>
      </w:r>
      <w:r w:rsidR="004F5415" w:rsidRPr="007A4878">
        <w:rPr>
          <w:rFonts w:asciiTheme="majorHAnsi" w:hAnsiTheme="majorHAnsi"/>
          <w:bCs/>
        </w:rPr>
        <w:t xml:space="preserve"> </w:t>
      </w:r>
      <w:r w:rsidRPr="007A4878">
        <w:rPr>
          <w:rFonts w:asciiTheme="majorHAnsi" w:hAnsiTheme="majorHAnsi"/>
          <w:bCs/>
        </w:rPr>
        <w:t>the benefit</w:t>
      </w:r>
      <w:r w:rsidR="004F5415">
        <w:rPr>
          <w:rFonts w:asciiTheme="majorHAnsi" w:hAnsiTheme="majorHAnsi"/>
          <w:bCs/>
        </w:rPr>
        <w:t>s</w:t>
      </w:r>
      <w:r w:rsidRPr="007A4878">
        <w:rPr>
          <w:rFonts w:asciiTheme="majorHAnsi" w:hAnsiTheme="majorHAnsi"/>
          <w:bCs/>
        </w:rPr>
        <w:t xml:space="preserve"> of supporting the local economy and producing electricity that may be more </w:t>
      </w:r>
      <w:r w:rsidR="004F5415">
        <w:rPr>
          <w:rFonts w:asciiTheme="majorHAnsi" w:hAnsiTheme="majorHAnsi"/>
          <w:bCs/>
        </w:rPr>
        <w:t xml:space="preserve">clean and </w:t>
      </w:r>
      <w:r w:rsidRPr="007A4878">
        <w:rPr>
          <w:rFonts w:asciiTheme="majorHAnsi" w:hAnsiTheme="majorHAnsi"/>
          <w:bCs/>
        </w:rPr>
        <w:t xml:space="preserve">efficient than central station generating plants.  These distributed generation </w:t>
      </w:r>
      <w:r w:rsidR="004F5415">
        <w:rPr>
          <w:rFonts w:asciiTheme="majorHAnsi" w:hAnsiTheme="majorHAnsi"/>
          <w:bCs/>
        </w:rPr>
        <w:t>facilities</w:t>
      </w:r>
      <w:r w:rsidR="004F5415" w:rsidRPr="007A4878">
        <w:rPr>
          <w:rFonts w:asciiTheme="majorHAnsi" w:hAnsiTheme="majorHAnsi"/>
          <w:bCs/>
        </w:rPr>
        <w:t xml:space="preserve"> </w:t>
      </w:r>
      <w:r w:rsidRPr="007A4878">
        <w:rPr>
          <w:rFonts w:asciiTheme="majorHAnsi" w:hAnsiTheme="majorHAnsi"/>
          <w:bCs/>
        </w:rPr>
        <w:t xml:space="preserve">may also help CPSF manage load in ways that produce substantial cost savings. Like </w:t>
      </w:r>
      <w:r w:rsidR="004F5415">
        <w:rPr>
          <w:rFonts w:asciiTheme="majorHAnsi" w:hAnsiTheme="majorHAnsi"/>
          <w:bCs/>
        </w:rPr>
        <w:t xml:space="preserve">the </w:t>
      </w:r>
      <w:r w:rsidRPr="007A4878">
        <w:rPr>
          <w:rFonts w:asciiTheme="majorHAnsi" w:hAnsiTheme="majorHAnsi"/>
          <w:bCs/>
        </w:rPr>
        <w:t>renewable</w:t>
      </w:r>
      <w:r w:rsidR="004F5415">
        <w:rPr>
          <w:rFonts w:asciiTheme="majorHAnsi" w:hAnsiTheme="majorHAnsi"/>
          <w:bCs/>
        </w:rPr>
        <w:t xml:space="preserve"> resources discussed in the previous section</w:t>
      </w:r>
      <w:r w:rsidRPr="007A4878">
        <w:rPr>
          <w:rFonts w:asciiTheme="majorHAnsi" w:hAnsiTheme="majorHAnsi"/>
          <w:bCs/>
        </w:rPr>
        <w:t xml:space="preserve">, they </w:t>
      </w:r>
      <w:r w:rsidR="004F5415">
        <w:rPr>
          <w:rFonts w:asciiTheme="majorHAnsi" w:hAnsiTheme="majorHAnsi"/>
          <w:bCs/>
        </w:rPr>
        <w:t>stimulate</w:t>
      </w:r>
      <w:r w:rsidR="004F5415" w:rsidRPr="007A4878">
        <w:rPr>
          <w:rFonts w:asciiTheme="majorHAnsi" w:hAnsiTheme="majorHAnsi"/>
          <w:bCs/>
        </w:rPr>
        <w:t xml:space="preserve"> </w:t>
      </w:r>
      <w:r w:rsidRPr="007A4878">
        <w:rPr>
          <w:rFonts w:asciiTheme="majorHAnsi" w:hAnsiTheme="majorHAnsi"/>
          <w:bCs/>
        </w:rPr>
        <w:t>the development of local jobs and local economic growth</w:t>
      </w:r>
      <w:r w:rsidR="004F5415">
        <w:rPr>
          <w:rFonts w:asciiTheme="majorHAnsi" w:hAnsiTheme="majorHAnsi"/>
          <w:bCs/>
        </w:rPr>
        <w:t>,</w:t>
      </w:r>
      <w:r w:rsidRPr="007A4878">
        <w:rPr>
          <w:rFonts w:asciiTheme="majorHAnsi" w:hAnsiTheme="majorHAnsi"/>
          <w:bCs/>
        </w:rPr>
        <w:t xml:space="preserve"> compared to out-of-area facilities, especially central station plants. </w:t>
      </w:r>
    </w:p>
    <w:p w:rsidR="007A4878" w:rsidRPr="00104C4F" w:rsidRDefault="007A4878" w:rsidP="007A4878">
      <w:pPr>
        <w:spacing w:line="288" w:lineRule="auto"/>
        <w:rPr>
          <w:rFonts w:asciiTheme="majorHAnsi" w:hAnsiTheme="majorHAnsi"/>
          <w:bCs/>
        </w:rPr>
      </w:pPr>
    </w:p>
    <w:p w:rsidR="007A4878" w:rsidRPr="00104C4F" w:rsidRDefault="007A4878" w:rsidP="00BF7139">
      <w:pPr>
        <w:spacing w:line="288" w:lineRule="auto"/>
        <w:rPr>
          <w:rFonts w:asciiTheme="majorHAnsi" w:hAnsiTheme="majorHAnsi"/>
          <w:bCs/>
        </w:rPr>
      </w:pPr>
      <w:r w:rsidRPr="00104C4F">
        <w:rPr>
          <w:rFonts w:asciiTheme="majorHAnsi" w:hAnsiTheme="majorHAnsi"/>
          <w:bCs/>
        </w:rPr>
        <w:t xml:space="preserve">Non-renewable energy facilities </w:t>
      </w:r>
      <w:r w:rsidR="004F5415">
        <w:rPr>
          <w:rFonts w:asciiTheme="majorHAnsi" w:hAnsiTheme="majorHAnsi"/>
          <w:bCs/>
        </w:rPr>
        <w:t>are tied to</w:t>
      </w:r>
      <w:r w:rsidRPr="00104C4F">
        <w:rPr>
          <w:rFonts w:asciiTheme="majorHAnsi" w:hAnsiTheme="majorHAnsi"/>
          <w:bCs/>
        </w:rPr>
        <w:t xml:space="preserve"> various environmental liabilities and the </w:t>
      </w:r>
      <w:r w:rsidR="004F5415">
        <w:rPr>
          <w:rFonts w:asciiTheme="majorHAnsi" w:hAnsiTheme="majorHAnsi"/>
          <w:bCs/>
        </w:rPr>
        <w:t>environmental review</w:t>
      </w:r>
      <w:r w:rsidRPr="00104C4F">
        <w:rPr>
          <w:rFonts w:asciiTheme="majorHAnsi" w:hAnsiTheme="majorHAnsi"/>
          <w:bCs/>
        </w:rPr>
        <w:t xml:space="preserve"> process for them</w:t>
      </w:r>
      <w:r w:rsidR="004F5415">
        <w:rPr>
          <w:rFonts w:asciiTheme="majorHAnsi" w:hAnsiTheme="majorHAnsi"/>
          <w:bCs/>
        </w:rPr>
        <w:t xml:space="preserve"> under the California Environment Quality Act (CEQA)</w:t>
      </w:r>
      <w:r w:rsidRPr="00104C4F">
        <w:rPr>
          <w:rFonts w:asciiTheme="majorHAnsi" w:hAnsiTheme="majorHAnsi"/>
          <w:bCs/>
        </w:rPr>
        <w:t xml:space="preserve"> is likely to be more </w:t>
      </w:r>
      <w:r w:rsidR="004F5415">
        <w:rPr>
          <w:rFonts w:asciiTheme="majorHAnsi" w:hAnsiTheme="majorHAnsi"/>
          <w:bCs/>
        </w:rPr>
        <w:t>complicated</w:t>
      </w:r>
      <w:r w:rsidR="004F5415" w:rsidRPr="00104C4F">
        <w:rPr>
          <w:rFonts w:asciiTheme="majorHAnsi" w:hAnsiTheme="majorHAnsi"/>
          <w:bCs/>
        </w:rPr>
        <w:t xml:space="preserve"> </w:t>
      </w:r>
      <w:r w:rsidRPr="00104C4F">
        <w:rPr>
          <w:rFonts w:asciiTheme="majorHAnsi" w:hAnsiTheme="majorHAnsi"/>
          <w:bCs/>
        </w:rPr>
        <w:t xml:space="preserve">than for some renewable projects.  </w:t>
      </w:r>
      <w:r w:rsidR="004F5415">
        <w:rPr>
          <w:rFonts w:asciiTheme="majorHAnsi" w:hAnsiTheme="majorHAnsi"/>
          <w:bCs/>
        </w:rPr>
        <w:t>Power from these facilities</w:t>
      </w:r>
      <w:r w:rsidR="004F5415" w:rsidRPr="00104C4F">
        <w:rPr>
          <w:rFonts w:asciiTheme="majorHAnsi" w:hAnsiTheme="majorHAnsi"/>
          <w:bCs/>
        </w:rPr>
        <w:t xml:space="preserve"> </w:t>
      </w:r>
      <w:r w:rsidRPr="00104C4F">
        <w:rPr>
          <w:rFonts w:asciiTheme="majorHAnsi" w:hAnsiTheme="majorHAnsi"/>
          <w:bCs/>
        </w:rPr>
        <w:t xml:space="preserve">would need to be “greened” with complementary market purchases (like “RECs”) if the </w:t>
      </w:r>
      <w:r w:rsidR="004F5415">
        <w:rPr>
          <w:rFonts w:asciiTheme="majorHAnsi" w:hAnsiTheme="majorHAnsi"/>
          <w:bCs/>
        </w:rPr>
        <w:t>SF</w:t>
      </w:r>
      <w:r w:rsidRPr="00104C4F">
        <w:rPr>
          <w:rFonts w:asciiTheme="majorHAnsi" w:hAnsiTheme="majorHAnsi"/>
          <w:bCs/>
        </w:rPr>
        <w:t>PUC wishes to retain a 100% renewable portfolio</w:t>
      </w:r>
      <w:r w:rsidR="004F5415">
        <w:rPr>
          <w:rFonts w:asciiTheme="majorHAnsi" w:hAnsiTheme="majorHAnsi"/>
          <w:bCs/>
        </w:rPr>
        <w:t xml:space="preserve"> for CPSF</w:t>
      </w:r>
      <w:r w:rsidRPr="00104C4F">
        <w:rPr>
          <w:rFonts w:asciiTheme="majorHAnsi" w:hAnsiTheme="majorHAnsi"/>
          <w:bCs/>
        </w:rPr>
        <w:t>.</w:t>
      </w:r>
    </w:p>
    <w:p w:rsidR="007A4878" w:rsidRPr="00104C4F" w:rsidRDefault="007A4878" w:rsidP="007A4878">
      <w:pPr>
        <w:spacing w:line="288" w:lineRule="auto"/>
        <w:ind w:left="720"/>
        <w:rPr>
          <w:rFonts w:asciiTheme="majorHAnsi" w:hAnsiTheme="majorHAnsi"/>
          <w:bCs/>
        </w:rPr>
      </w:pPr>
    </w:p>
    <w:p w:rsidR="004F5415" w:rsidRDefault="004F5415" w:rsidP="004F5415">
      <w:pPr>
        <w:spacing w:line="288" w:lineRule="auto"/>
        <w:rPr>
          <w:rFonts w:asciiTheme="majorHAnsi" w:hAnsiTheme="majorHAnsi"/>
          <w:b/>
          <w:bCs/>
          <w:i/>
        </w:rPr>
      </w:pPr>
      <w:r>
        <w:rPr>
          <w:rFonts w:asciiTheme="majorHAnsi" w:hAnsiTheme="majorHAnsi"/>
          <w:b/>
          <w:bCs/>
          <w:i/>
        </w:rPr>
        <w:t>Potential Concerns:</w:t>
      </w:r>
    </w:p>
    <w:p w:rsidR="004F5415" w:rsidRPr="004F5415" w:rsidRDefault="007A4878" w:rsidP="004F5415">
      <w:pPr>
        <w:pStyle w:val="ListParagraph"/>
        <w:numPr>
          <w:ilvl w:val="0"/>
          <w:numId w:val="42"/>
        </w:numPr>
        <w:spacing w:line="288" w:lineRule="auto"/>
        <w:rPr>
          <w:rFonts w:asciiTheme="majorHAnsi" w:hAnsiTheme="majorHAnsi"/>
          <w:b/>
          <w:bCs/>
          <w:i/>
        </w:rPr>
      </w:pPr>
      <w:r w:rsidRPr="004F5415">
        <w:rPr>
          <w:rFonts w:asciiTheme="majorHAnsi" w:hAnsiTheme="majorHAnsi"/>
          <w:bCs/>
        </w:rPr>
        <w:t xml:space="preserve">Whether CPSF should pay for local power supplies from distributed generation that is not considered renewable </w:t>
      </w:r>
      <w:r w:rsidR="004F5415">
        <w:rPr>
          <w:rFonts w:asciiTheme="majorHAnsi" w:hAnsiTheme="majorHAnsi"/>
          <w:bCs/>
        </w:rPr>
        <w:t xml:space="preserve">under State law, </w:t>
      </w:r>
      <w:r w:rsidRPr="004F5415">
        <w:rPr>
          <w:rFonts w:asciiTheme="majorHAnsi" w:hAnsiTheme="majorHAnsi"/>
          <w:bCs/>
        </w:rPr>
        <w:t>and whether CPSF should encourage the development of related facilities;</w:t>
      </w:r>
    </w:p>
    <w:p w:rsidR="004F5415" w:rsidRPr="004F5415" w:rsidRDefault="007A4878" w:rsidP="004F5415">
      <w:pPr>
        <w:pStyle w:val="ListParagraph"/>
        <w:numPr>
          <w:ilvl w:val="0"/>
          <w:numId w:val="42"/>
        </w:numPr>
        <w:spacing w:line="288" w:lineRule="auto"/>
        <w:rPr>
          <w:rFonts w:asciiTheme="majorHAnsi" w:hAnsiTheme="majorHAnsi"/>
          <w:b/>
          <w:bCs/>
          <w:i/>
        </w:rPr>
      </w:pPr>
      <w:r w:rsidRPr="004F5415">
        <w:rPr>
          <w:rFonts w:asciiTheme="majorHAnsi" w:hAnsiTheme="majorHAnsi"/>
          <w:bCs/>
        </w:rPr>
        <w:t>If CPSF decides to purchase such supplies, whether it should pay a lower price for the power than what it pays for state-certified renewable power;</w:t>
      </w:r>
    </w:p>
    <w:p w:rsidR="007A4878" w:rsidRPr="004F5415" w:rsidRDefault="007A4878" w:rsidP="004F5415">
      <w:pPr>
        <w:pStyle w:val="ListParagraph"/>
        <w:numPr>
          <w:ilvl w:val="0"/>
          <w:numId w:val="42"/>
        </w:numPr>
        <w:spacing w:line="288" w:lineRule="auto"/>
        <w:rPr>
          <w:rFonts w:asciiTheme="majorHAnsi" w:hAnsiTheme="majorHAnsi"/>
          <w:b/>
          <w:bCs/>
          <w:i/>
        </w:rPr>
      </w:pPr>
      <w:r w:rsidRPr="004F5415">
        <w:rPr>
          <w:rFonts w:asciiTheme="majorHAnsi" w:hAnsiTheme="majorHAnsi"/>
          <w:bCs/>
        </w:rPr>
        <w:t xml:space="preserve">Whether CPSF should </w:t>
      </w:r>
      <w:r w:rsidR="004F5415">
        <w:rPr>
          <w:rFonts w:asciiTheme="majorHAnsi" w:hAnsiTheme="majorHAnsi"/>
          <w:bCs/>
        </w:rPr>
        <w:t>explore</w:t>
      </w:r>
      <w:r w:rsidR="004F5415" w:rsidRPr="004F5415">
        <w:rPr>
          <w:rFonts w:asciiTheme="majorHAnsi" w:hAnsiTheme="majorHAnsi"/>
          <w:bCs/>
        </w:rPr>
        <w:t xml:space="preserve"> </w:t>
      </w:r>
      <w:r w:rsidRPr="004F5415">
        <w:rPr>
          <w:rFonts w:asciiTheme="majorHAnsi" w:hAnsiTheme="majorHAnsi"/>
          <w:bCs/>
        </w:rPr>
        <w:t xml:space="preserve">using </w:t>
      </w:r>
      <w:r w:rsidR="004F5415">
        <w:rPr>
          <w:rFonts w:asciiTheme="majorHAnsi" w:hAnsiTheme="majorHAnsi"/>
          <w:bCs/>
        </w:rPr>
        <w:t xml:space="preserve">such </w:t>
      </w:r>
      <w:r w:rsidRPr="004F5415">
        <w:rPr>
          <w:rFonts w:asciiTheme="majorHAnsi" w:hAnsiTheme="majorHAnsi"/>
          <w:bCs/>
        </w:rPr>
        <w:t xml:space="preserve">distributed generation to lower costs relating to peak period energy costs and, if so, how to </w:t>
      </w:r>
      <w:r w:rsidR="004F5415">
        <w:rPr>
          <w:rFonts w:asciiTheme="majorHAnsi" w:hAnsiTheme="majorHAnsi"/>
          <w:bCs/>
        </w:rPr>
        <w:t>en</w:t>
      </w:r>
      <w:r w:rsidRPr="004F5415">
        <w:rPr>
          <w:rFonts w:asciiTheme="majorHAnsi" w:hAnsiTheme="majorHAnsi"/>
          <w:bCs/>
        </w:rPr>
        <w:t>sure</w:t>
      </w:r>
      <w:r w:rsidR="004F5415">
        <w:rPr>
          <w:rFonts w:asciiTheme="majorHAnsi" w:hAnsiTheme="majorHAnsi"/>
          <w:bCs/>
        </w:rPr>
        <w:t xml:space="preserve"> that</w:t>
      </w:r>
      <w:r w:rsidRPr="004F5415">
        <w:rPr>
          <w:rFonts w:asciiTheme="majorHAnsi" w:hAnsiTheme="majorHAnsi"/>
          <w:bCs/>
        </w:rPr>
        <w:t xml:space="preserve"> CPSF would get the benefit of related investments under the terms of the SENA procurement contract</w:t>
      </w:r>
      <w:r w:rsidR="004F5415">
        <w:rPr>
          <w:rFonts w:asciiTheme="majorHAnsi" w:hAnsiTheme="majorHAnsi"/>
          <w:bCs/>
        </w:rPr>
        <w:t>.</w:t>
      </w:r>
    </w:p>
    <w:p w:rsidR="007A4878" w:rsidRPr="007A4878" w:rsidRDefault="007A4878" w:rsidP="007A4878">
      <w:pPr>
        <w:pStyle w:val="ListParagraph"/>
        <w:spacing w:line="288" w:lineRule="auto"/>
        <w:ind w:left="1440"/>
        <w:rPr>
          <w:rFonts w:asciiTheme="majorHAnsi" w:hAnsiTheme="majorHAnsi"/>
          <w:bCs/>
        </w:rPr>
      </w:pPr>
    </w:p>
    <w:p w:rsidR="007A4878" w:rsidRDefault="007A4878" w:rsidP="007A4878">
      <w:pPr>
        <w:spacing w:line="288" w:lineRule="auto"/>
        <w:rPr>
          <w:rFonts w:asciiTheme="majorHAnsi" w:hAnsiTheme="majorHAnsi"/>
          <w:b/>
          <w:bCs/>
          <w:i/>
        </w:rPr>
      </w:pPr>
      <w:r w:rsidRPr="00BF7139">
        <w:rPr>
          <w:rFonts w:asciiTheme="majorHAnsi" w:hAnsiTheme="majorHAnsi"/>
          <w:b/>
          <w:bCs/>
          <w:i/>
          <w:u w:val="single"/>
        </w:rPr>
        <w:t xml:space="preserve">STRATEGY </w:t>
      </w:r>
      <w:r w:rsidR="008B6EC4">
        <w:rPr>
          <w:rFonts w:asciiTheme="majorHAnsi" w:hAnsiTheme="majorHAnsi"/>
          <w:b/>
          <w:bCs/>
          <w:i/>
          <w:u w:val="single"/>
        </w:rPr>
        <w:t>#</w:t>
      </w:r>
      <w:r w:rsidR="00735550">
        <w:rPr>
          <w:rFonts w:asciiTheme="majorHAnsi" w:hAnsiTheme="majorHAnsi"/>
          <w:b/>
          <w:bCs/>
          <w:i/>
          <w:u w:val="single"/>
        </w:rPr>
        <w:t>11</w:t>
      </w:r>
      <w:r w:rsidRPr="00BF7139">
        <w:rPr>
          <w:rFonts w:asciiTheme="majorHAnsi" w:hAnsiTheme="majorHAnsi"/>
          <w:b/>
          <w:bCs/>
          <w:i/>
          <w:u w:val="single"/>
        </w:rPr>
        <w:t>:</w:t>
      </w:r>
      <w:r w:rsidRPr="00104C4F">
        <w:rPr>
          <w:rFonts w:asciiTheme="majorHAnsi" w:hAnsiTheme="majorHAnsi"/>
          <w:b/>
          <w:bCs/>
          <w:i/>
        </w:rPr>
        <w:t xml:space="preserve">  CPSF will develop local nonrenewable projects that are (1) more efficient and cleaner than central station alternatives; (2) cost-effective in helping CPSF manage load, especially during peak periods (3) substantially less expensive or substantially more beneficial than renewable alternatives for managing power delivery; (4) </w:t>
      </w:r>
      <w:r w:rsidR="00792355">
        <w:rPr>
          <w:rFonts w:asciiTheme="majorHAnsi" w:hAnsiTheme="majorHAnsi"/>
          <w:b/>
          <w:bCs/>
          <w:i/>
        </w:rPr>
        <w:t xml:space="preserve">or </w:t>
      </w:r>
      <w:r w:rsidRPr="00104C4F">
        <w:rPr>
          <w:rFonts w:asciiTheme="majorHAnsi" w:hAnsiTheme="majorHAnsi"/>
          <w:b/>
          <w:bCs/>
          <w:i/>
        </w:rPr>
        <w:t>otherwise contribute to program goals and objectives.</w:t>
      </w:r>
    </w:p>
    <w:p w:rsidR="00792355" w:rsidRDefault="00792355" w:rsidP="007A4878">
      <w:pPr>
        <w:spacing w:line="288" w:lineRule="auto"/>
        <w:rPr>
          <w:rFonts w:asciiTheme="majorHAnsi" w:hAnsiTheme="majorHAnsi"/>
          <w:b/>
          <w:bCs/>
          <w:i/>
        </w:rPr>
      </w:pPr>
    </w:p>
    <w:tbl>
      <w:tblPr>
        <w:tblW w:w="0" w:type="auto"/>
        <w:tblCellMar>
          <w:left w:w="0" w:type="dxa"/>
          <w:right w:w="0" w:type="dxa"/>
        </w:tblCellMar>
        <w:tblLook w:val="04A0" w:firstRow="1" w:lastRow="0" w:firstColumn="1" w:lastColumn="0" w:noHBand="0" w:noVBand="1"/>
      </w:tblPr>
      <w:tblGrid>
        <w:gridCol w:w="6768"/>
        <w:gridCol w:w="2808"/>
      </w:tblGrid>
      <w:tr w:rsidR="00792355" w:rsidRPr="00104C4F" w:rsidTr="007829E8">
        <w:tc>
          <w:tcPr>
            <w:tcW w:w="6768" w:type="dxa"/>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792355" w:rsidRPr="00104C4F" w:rsidRDefault="00792355" w:rsidP="007829E8">
            <w:pPr>
              <w:spacing w:line="288" w:lineRule="auto"/>
              <w:rPr>
                <w:rFonts w:asciiTheme="majorHAnsi" w:hAnsiTheme="majorHAnsi" w:cs="Calibri"/>
                <w:b/>
                <w:bCs/>
                <w:i/>
                <w:iCs/>
              </w:rPr>
            </w:pPr>
            <w:r w:rsidRPr="00104C4F">
              <w:rPr>
                <w:rFonts w:asciiTheme="majorHAnsi" w:hAnsiTheme="majorHAnsi"/>
                <w:b/>
                <w:bCs/>
                <w:i/>
                <w:iCs/>
              </w:rPr>
              <w:t>Work Task</w:t>
            </w:r>
          </w:p>
        </w:tc>
        <w:tc>
          <w:tcPr>
            <w:tcW w:w="2808"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792355" w:rsidRPr="00104C4F" w:rsidRDefault="00792355" w:rsidP="007829E8">
            <w:pPr>
              <w:spacing w:line="288" w:lineRule="auto"/>
              <w:rPr>
                <w:rFonts w:asciiTheme="majorHAnsi" w:hAnsiTheme="majorHAnsi" w:cs="Calibri"/>
                <w:b/>
                <w:bCs/>
                <w:i/>
                <w:iCs/>
              </w:rPr>
            </w:pPr>
            <w:r w:rsidRPr="00104C4F">
              <w:rPr>
                <w:rFonts w:asciiTheme="majorHAnsi" w:hAnsiTheme="majorHAnsi"/>
                <w:b/>
                <w:bCs/>
                <w:i/>
                <w:iCs/>
              </w:rPr>
              <w:t>Timing</w:t>
            </w:r>
          </w:p>
        </w:tc>
      </w:tr>
      <w:tr w:rsidR="00792355" w:rsidRPr="00104C4F" w:rsidTr="007829E8">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355" w:rsidRPr="00104C4F" w:rsidRDefault="00BB35F8" w:rsidP="007829E8">
            <w:pPr>
              <w:spacing w:line="288" w:lineRule="auto"/>
              <w:rPr>
                <w:rFonts w:asciiTheme="majorHAnsi" w:hAnsiTheme="majorHAnsi" w:cs="Calibri"/>
              </w:rPr>
            </w:pPr>
            <w:r>
              <w:rPr>
                <w:rFonts w:asciiTheme="majorHAnsi" w:hAnsiTheme="majorHAnsi"/>
                <w:bCs/>
              </w:rPr>
              <w:t xml:space="preserve">Confirm that </w:t>
            </w:r>
            <w:r w:rsidR="00792355" w:rsidRPr="00104C4F">
              <w:rPr>
                <w:rFonts w:asciiTheme="majorHAnsi" w:hAnsiTheme="majorHAnsi"/>
                <w:bCs/>
              </w:rPr>
              <w:t xml:space="preserve">SENA contract </w:t>
            </w:r>
            <w:r>
              <w:rPr>
                <w:rFonts w:asciiTheme="majorHAnsi" w:hAnsiTheme="majorHAnsi"/>
                <w:bCs/>
              </w:rPr>
              <w:t xml:space="preserve">terms </w:t>
            </w:r>
            <w:r w:rsidR="00792355" w:rsidRPr="00104C4F">
              <w:rPr>
                <w:rFonts w:asciiTheme="majorHAnsi" w:hAnsiTheme="majorHAnsi"/>
                <w:bCs/>
              </w:rPr>
              <w:t>do not provide disincentives to shave peak load</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355" w:rsidRPr="00104C4F" w:rsidRDefault="00BB35F8" w:rsidP="007829E8">
            <w:pPr>
              <w:spacing w:line="288" w:lineRule="auto"/>
              <w:rPr>
                <w:rFonts w:asciiTheme="majorHAnsi" w:hAnsiTheme="majorHAnsi" w:cs="Calibri"/>
              </w:rPr>
            </w:pPr>
            <w:r>
              <w:rPr>
                <w:rFonts w:asciiTheme="majorHAnsi" w:hAnsiTheme="majorHAnsi"/>
                <w:bCs/>
              </w:rPr>
              <w:t>Ongoing</w:t>
            </w:r>
          </w:p>
        </w:tc>
      </w:tr>
      <w:tr w:rsidR="00792355" w:rsidRPr="00104C4F" w:rsidTr="007829E8">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92355" w:rsidRPr="00104C4F" w:rsidRDefault="00792355" w:rsidP="007829E8">
            <w:pPr>
              <w:spacing w:line="288" w:lineRule="auto"/>
              <w:rPr>
                <w:rFonts w:asciiTheme="majorHAnsi" w:hAnsiTheme="majorHAnsi"/>
              </w:rPr>
            </w:pPr>
            <w:r w:rsidRPr="00104C4F">
              <w:rPr>
                <w:rFonts w:asciiTheme="majorHAnsi" w:hAnsiTheme="majorHAnsi"/>
                <w:bCs/>
              </w:rPr>
              <w:t xml:space="preserve">Investigate the </w:t>
            </w:r>
            <w:r w:rsidR="00BB35F8">
              <w:rPr>
                <w:rFonts w:asciiTheme="majorHAnsi" w:hAnsiTheme="majorHAnsi"/>
                <w:bCs/>
              </w:rPr>
              <w:t>SFPUC’s</w:t>
            </w:r>
            <w:r w:rsidRPr="00104C4F">
              <w:rPr>
                <w:rFonts w:asciiTheme="majorHAnsi" w:hAnsiTheme="majorHAnsi"/>
                <w:bCs/>
              </w:rPr>
              <w:t xml:space="preserve"> facilities and related data to determine the potential locations and characteristics of cost-effective investments in non-renewable energy facilities</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tcPr>
          <w:p w:rsidR="00792355" w:rsidRDefault="00BB35F8" w:rsidP="007829E8">
            <w:pPr>
              <w:spacing w:line="288" w:lineRule="auto"/>
              <w:rPr>
                <w:rFonts w:asciiTheme="majorHAnsi" w:hAnsiTheme="majorHAnsi"/>
              </w:rPr>
            </w:pPr>
            <w:r>
              <w:rPr>
                <w:rFonts w:asciiTheme="majorHAnsi" w:hAnsiTheme="majorHAnsi"/>
                <w:bCs/>
              </w:rPr>
              <w:t>Year 1</w:t>
            </w:r>
            <w:r w:rsidR="00735550">
              <w:rPr>
                <w:rFonts w:asciiTheme="majorHAnsi" w:hAnsiTheme="majorHAnsi"/>
                <w:bCs/>
              </w:rPr>
              <w:t xml:space="preserve"> and ongoing</w:t>
            </w:r>
          </w:p>
        </w:tc>
      </w:tr>
      <w:tr w:rsidR="00792355" w:rsidRPr="00104C4F" w:rsidTr="007829E8">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355" w:rsidRPr="00104C4F" w:rsidRDefault="00792355" w:rsidP="007829E8">
            <w:pPr>
              <w:spacing w:line="288" w:lineRule="auto"/>
              <w:rPr>
                <w:rFonts w:asciiTheme="majorHAnsi" w:hAnsiTheme="majorHAnsi" w:cs="Calibri"/>
              </w:rPr>
            </w:pPr>
            <w:r w:rsidRPr="00104C4F">
              <w:rPr>
                <w:rFonts w:asciiTheme="majorHAnsi" w:hAnsiTheme="majorHAnsi"/>
                <w:bCs/>
              </w:rPr>
              <w:t>Issue RFP for local nonrenewable resources that would promote more cost-effective management of power purchases and potentially expand customer base</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355" w:rsidRPr="00104C4F" w:rsidRDefault="00BB35F8" w:rsidP="007829E8">
            <w:pPr>
              <w:spacing w:line="288" w:lineRule="auto"/>
              <w:rPr>
                <w:rFonts w:asciiTheme="majorHAnsi" w:hAnsiTheme="majorHAnsi" w:cs="Calibri"/>
              </w:rPr>
            </w:pPr>
            <w:r>
              <w:rPr>
                <w:rFonts w:asciiTheme="majorHAnsi" w:hAnsiTheme="majorHAnsi"/>
                <w:bCs/>
              </w:rPr>
              <w:t>Year 1</w:t>
            </w:r>
            <w:r w:rsidR="00735550">
              <w:rPr>
                <w:rFonts w:asciiTheme="majorHAnsi" w:hAnsiTheme="majorHAnsi"/>
                <w:bCs/>
              </w:rPr>
              <w:t xml:space="preserve"> and ongoing</w:t>
            </w:r>
          </w:p>
        </w:tc>
      </w:tr>
    </w:tbl>
    <w:p w:rsidR="007A4878" w:rsidRPr="00104C4F" w:rsidRDefault="007A4878" w:rsidP="007A4878">
      <w:pPr>
        <w:spacing w:line="288" w:lineRule="auto"/>
        <w:rPr>
          <w:rFonts w:asciiTheme="majorHAnsi" w:hAnsiTheme="majorHAnsi"/>
          <w:b/>
          <w:bCs/>
          <w:i/>
        </w:rPr>
      </w:pPr>
    </w:p>
    <w:p w:rsidR="00BB35F8" w:rsidRPr="00BF7139" w:rsidRDefault="00BB35F8" w:rsidP="009057C0">
      <w:pPr>
        <w:spacing w:line="288" w:lineRule="auto"/>
        <w:ind w:firstLine="720"/>
        <w:rPr>
          <w:rFonts w:asciiTheme="majorHAnsi" w:hAnsiTheme="majorHAnsi"/>
          <w:b/>
          <w:bCs/>
          <w:u w:val="single"/>
        </w:rPr>
      </w:pPr>
      <w:r w:rsidRPr="00BB35F8">
        <w:rPr>
          <w:rFonts w:asciiTheme="majorHAnsi" w:hAnsiTheme="majorHAnsi"/>
          <w:b/>
          <w:bCs/>
          <w:u w:val="single"/>
        </w:rPr>
        <w:t>HETCH HETCHY POWER SUPPLIES</w:t>
      </w:r>
    </w:p>
    <w:p w:rsidR="007A4878" w:rsidRDefault="007A4878" w:rsidP="00BB35F8">
      <w:pPr>
        <w:spacing w:line="288" w:lineRule="auto"/>
        <w:rPr>
          <w:rFonts w:asciiTheme="majorHAnsi" w:hAnsiTheme="majorHAnsi"/>
          <w:bCs/>
        </w:rPr>
      </w:pPr>
      <w:r w:rsidRPr="00BB35F8">
        <w:rPr>
          <w:rFonts w:asciiTheme="majorHAnsi" w:hAnsiTheme="majorHAnsi"/>
          <w:bCs/>
        </w:rPr>
        <w:t>The SFPUC may be willing to sell excess Hetch Hetchy</w:t>
      </w:r>
      <w:r w:rsidR="00BB35F8">
        <w:rPr>
          <w:rFonts w:asciiTheme="majorHAnsi" w:hAnsiTheme="majorHAnsi"/>
          <w:bCs/>
        </w:rPr>
        <w:t xml:space="preserve"> generation to CPSF</w:t>
      </w:r>
      <w:r w:rsidRPr="00BB35F8">
        <w:rPr>
          <w:rFonts w:asciiTheme="majorHAnsi" w:hAnsiTheme="majorHAnsi"/>
          <w:bCs/>
        </w:rPr>
        <w:t>.  Although CPSF would be a low priority customer, the power would be very inexpensive. Because the State does not consider Hetch Hetchy a “renewable” facility (</w:t>
      </w:r>
      <w:r w:rsidR="00BB35F8">
        <w:rPr>
          <w:rFonts w:asciiTheme="majorHAnsi" w:hAnsiTheme="majorHAnsi"/>
          <w:bCs/>
        </w:rPr>
        <w:t xml:space="preserve">due to </w:t>
      </w:r>
      <w:r w:rsidRPr="00BB35F8">
        <w:rPr>
          <w:rFonts w:asciiTheme="majorHAnsi" w:hAnsiTheme="majorHAnsi"/>
          <w:bCs/>
        </w:rPr>
        <w:t xml:space="preserve">its </w:t>
      </w:r>
      <w:r w:rsidR="00BB35F8">
        <w:rPr>
          <w:rFonts w:asciiTheme="majorHAnsi" w:hAnsiTheme="majorHAnsi"/>
          <w:bCs/>
        </w:rPr>
        <w:t xml:space="preserve">large </w:t>
      </w:r>
      <w:r w:rsidRPr="00BB35F8">
        <w:rPr>
          <w:rFonts w:asciiTheme="majorHAnsi" w:hAnsiTheme="majorHAnsi"/>
          <w:bCs/>
        </w:rPr>
        <w:t xml:space="preserve">size), power from it would need to be “greened” with REC purchases if CPSF wants to maintain a 100% </w:t>
      </w:r>
      <w:r w:rsidR="00BB35F8">
        <w:rPr>
          <w:rFonts w:asciiTheme="majorHAnsi" w:hAnsiTheme="majorHAnsi"/>
          <w:bCs/>
        </w:rPr>
        <w:t xml:space="preserve">RPS-eligible </w:t>
      </w:r>
      <w:r w:rsidRPr="00BB35F8">
        <w:rPr>
          <w:rFonts w:asciiTheme="majorHAnsi" w:hAnsiTheme="majorHAnsi"/>
          <w:bCs/>
        </w:rPr>
        <w:t xml:space="preserve">renewable portfolio.  CPSF may be able to construct small hydro projects on the </w:t>
      </w:r>
      <w:r w:rsidR="00BB35F8">
        <w:rPr>
          <w:rFonts w:asciiTheme="majorHAnsi" w:hAnsiTheme="majorHAnsi"/>
          <w:bCs/>
        </w:rPr>
        <w:t>Hetch Hetchy</w:t>
      </w:r>
      <w:r w:rsidR="00BB35F8" w:rsidRPr="00BB35F8">
        <w:rPr>
          <w:rFonts w:asciiTheme="majorHAnsi" w:hAnsiTheme="majorHAnsi"/>
          <w:bCs/>
        </w:rPr>
        <w:t xml:space="preserve"> </w:t>
      </w:r>
      <w:r w:rsidRPr="00BB35F8">
        <w:rPr>
          <w:rFonts w:asciiTheme="majorHAnsi" w:hAnsiTheme="majorHAnsi"/>
          <w:bCs/>
        </w:rPr>
        <w:t xml:space="preserve">system that would be considered </w:t>
      </w:r>
      <w:r w:rsidR="00BB35F8">
        <w:rPr>
          <w:rFonts w:asciiTheme="majorHAnsi" w:hAnsiTheme="majorHAnsi"/>
          <w:bCs/>
        </w:rPr>
        <w:t>RPS-eligible</w:t>
      </w:r>
      <w:r w:rsidRPr="00BB35F8">
        <w:rPr>
          <w:rFonts w:asciiTheme="majorHAnsi" w:hAnsiTheme="majorHAnsi"/>
          <w:bCs/>
        </w:rPr>
        <w:t>.  In particular, CPSF may be able to work with Hetch Hetchy to construct small hydro electrical facilities inside water pipelines.</w:t>
      </w:r>
    </w:p>
    <w:p w:rsidR="00BB35F8" w:rsidRPr="00BB35F8" w:rsidRDefault="00BB35F8" w:rsidP="00BB35F8">
      <w:pPr>
        <w:spacing w:line="288" w:lineRule="auto"/>
        <w:rPr>
          <w:rFonts w:asciiTheme="majorHAnsi" w:hAnsiTheme="majorHAnsi"/>
          <w:bCs/>
        </w:rPr>
      </w:pPr>
    </w:p>
    <w:p w:rsidR="007A4878" w:rsidRPr="00BB35F8" w:rsidRDefault="00BB35F8" w:rsidP="00BB35F8">
      <w:pPr>
        <w:spacing w:line="288" w:lineRule="auto"/>
        <w:rPr>
          <w:rFonts w:asciiTheme="majorHAnsi" w:hAnsiTheme="majorHAnsi"/>
          <w:b/>
          <w:bCs/>
          <w:i/>
        </w:rPr>
      </w:pPr>
      <w:r>
        <w:rPr>
          <w:rFonts w:asciiTheme="majorHAnsi" w:hAnsiTheme="majorHAnsi"/>
          <w:b/>
          <w:bCs/>
          <w:i/>
        </w:rPr>
        <w:t>Potential Concerns:</w:t>
      </w:r>
    </w:p>
    <w:p w:rsidR="007A4878" w:rsidRPr="00104C4F" w:rsidRDefault="007A4878" w:rsidP="00BB35F8">
      <w:pPr>
        <w:pStyle w:val="ListParagraph"/>
        <w:numPr>
          <w:ilvl w:val="0"/>
          <w:numId w:val="43"/>
        </w:numPr>
        <w:spacing w:line="288" w:lineRule="auto"/>
        <w:rPr>
          <w:rFonts w:asciiTheme="majorHAnsi" w:hAnsiTheme="majorHAnsi"/>
          <w:bCs/>
        </w:rPr>
      </w:pPr>
      <w:r w:rsidRPr="00104C4F">
        <w:rPr>
          <w:rFonts w:asciiTheme="majorHAnsi" w:hAnsiTheme="majorHAnsi"/>
          <w:bCs/>
        </w:rPr>
        <w:t xml:space="preserve">Whether CPSF should or could purchase any excess power </w:t>
      </w:r>
      <w:r w:rsidR="00BB35F8">
        <w:rPr>
          <w:rFonts w:asciiTheme="majorHAnsi" w:hAnsiTheme="majorHAnsi"/>
          <w:bCs/>
        </w:rPr>
        <w:t xml:space="preserve">(after obligations to the Modesto and Turlock Irrigation Districts) </w:t>
      </w:r>
      <w:r w:rsidRPr="00104C4F">
        <w:rPr>
          <w:rFonts w:asciiTheme="majorHAnsi" w:hAnsiTheme="majorHAnsi"/>
          <w:bCs/>
        </w:rPr>
        <w:t>from Hetch Hetchy to supplement SENA purchases;</w:t>
      </w:r>
    </w:p>
    <w:p w:rsidR="007A4878" w:rsidRPr="00104C4F" w:rsidRDefault="007A4878" w:rsidP="00BB35F8">
      <w:pPr>
        <w:pStyle w:val="ListParagraph"/>
        <w:numPr>
          <w:ilvl w:val="0"/>
          <w:numId w:val="43"/>
        </w:numPr>
        <w:spacing w:line="288" w:lineRule="auto"/>
        <w:rPr>
          <w:rFonts w:asciiTheme="majorHAnsi" w:hAnsiTheme="majorHAnsi"/>
          <w:bCs/>
        </w:rPr>
      </w:pPr>
      <w:r w:rsidRPr="00104C4F">
        <w:rPr>
          <w:rFonts w:asciiTheme="majorHAnsi" w:hAnsiTheme="majorHAnsi"/>
          <w:bCs/>
        </w:rPr>
        <w:t xml:space="preserve">Whether CPSF should advocate for development of small hydro projects using the </w:t>
      </w:r>
      <w:r w:rsidR="00BB35F8">
        <w:rPr>
          <w:rFonts w:asciiTheme="majorHAnsi" w:hAnsiTheme="majorHAnsi"/>
          <w:bCs/>
        </w:rPr>
        <w:t>Hetch Hetchy</w:t>
      </w:r>
      <w:r w:rsidR="00BB35F8" w:rsidRPr="00104C4F">
        <w:rPr>
          <w:rFonts w:asciiTheme="majorHAnsi" w:hAnsiTheme="majorHAnsi"/>
          <w:bCs/>
        </w:rPr>
        <w:t xml:space="preserve"> </w:t>
      </w:r>
      <w:r w:rsidRPr="00104C4F">
        <w:rPr>
          <w:rFonts w:asciiTheme="majorHAnsi" w:hAnsiTheme="majorHAnsi"/>
          <w:bCs/>
        </w:rPr>
        <w:t>system;</w:t>
      </w:r>
    </w:p>
    <w:p w:rsidR="007A4878" w:rsidRPr="00104C4F" w:rsidRDefault="007A4878" w:rsidP="00BB35F8">
      <w:pPr>
        <w:pStyle w:val="ListParagraph"/>
        <w:numPr>
          <w:ilvl w:val="0"/>
          <w:numId w:val="43"/>
        </w:numPr>
        <w:spacing w:line="288" w:lineRule="auto"/>
        <w:rPr>
          <w:rFonts w:asciiTheme="majorHAnsi" w:hAnsiTheme="majorHAnsi"/>
          <w:bCs/>
        </w:rPr>
      </w:pPr>
      <w:r w:rsidRPr="00104C4F">
        <w:rPr>
          <w:rFonts w:asciiTheme="majorHAnsi" w:hAnsiTheme="majorHAnsi"/>
          <w:bCs/>
        </w:rPr>
        <w:t>Whether CPSF could become a higher priority customer in future periods</w:t>
      </w:r>
      <w:r w:rsidR="00062271">
        <w:rPr>
          <w:rFonts w:asciiTheme="majorHAnsi" w:hAnsiTheme="majorHAnsi"/>
          <w:bCs/>
        </w:rPr>
        <w:t>.</w:t>
      </w:r>
    </w:p>
    <w:p w:rsidR="007A4878" w:rsidRPr="00104C4F" w:rsidRDefault="007A4878" w:rsidP="007A4878">
      <w:pPr>
        <w:spacing w:line="288" w:lineRule="auto"/>
        <w:rPr>
          <w:rFonts w:asciiTheme="majorHAnsi" w:hAnsiTheme="majorHAnsi"/>
          <w:bCs/>
        </w:rPr>
      </w:pPr>
    </w:p>
    <w:p w:rsidR="007A4878" w:rsidRPr="00104C4F" w:rsidRDefault="009057C0" w:rsidP="007A4878">
      <w:pPr>
        <w:spacing w:line="288" w:lineRule="auto"/>
        <w:rPr>
          <w:rFonts w:asciiTheme="majorHAnsi" w:hAnsiTheme="majorHAnsi"/>
          <w:bCs/>
        </w:rPr>
      </w:pPr>
      <w:r>
        <w:rPr>
          <w:rFonts w:asciiTheme="majorHAnsi" w:hAnsiTheme="majorHAnsi"/>
          <w:b/>
          <w:bCs/>
          <w:i/>
          <w:u w:val="single"/>
        </w:rPr>
        <w:t xml:space="preserve">Strategy </w:t>
      </w:r>
      <w:r w:rsidR="008B6EC4">
        <w:rPr>
          <w:rFonts w:asciiTheme="majorHAnsi" w:hAnsiTheme="majorHAnsi"/>
          <w:b/>
          <w:bCs/>
          <w:i/>
          <w:u w:val="single"/>
        </w:rPr>
        <w:t>#</w:t>
      </w:r>
      <w:r>
        <w:rPr>
          <w:rFonts w:asciiTheme="majorHAnsi" w:hAnsiTheme="majorHAnsi"/>
          <w:b/>
          <w:bCs/>
          <w:i/>
          <w:u w:val="single"/>
        </w:rPr>
        <w:t>1</w:t>
      </w:r>
      <w:r w:rsidR="00735550">
        <w:rPr>
          <w:rFonts w:asciiTheme="majorHAnsi" w:hAnsiTheme="majorHAnsi"/>
          <w:b/>
          <w:bCs/>
          <w:i/>
          <w:u w:val="single"/>
        </w:rPr>
        <w:t>2</w:t>
      </w:r>
      <w:r w:rsidR="007A4878" w:rsidRPr="00BF7139">
        <w:rPr>
          <w:rFonts w:asciiTheme="majorHAnsi" w:hAnsiTheme="majorHAnsi"/>
          <w:b/>
          <w:bCs/>
          <w:i/>
          <w:u w:val="single"/>
        </w:rPr>
        <w:t>:</w:t>
      </w:r>
      <w:r w:rsidR="007A4878" w:rsidRPr="00104C4F">
        <w:rPr>
          <w:rFonts w:asciiTheme="majorHAnsi" w:hAnsiTheme="majorHAnsi"/>
          <w:b/>
          <w:bCs/>
          <w:i/>
        </w:rPr>
        <w:t xml:space="preserve">   CPSF will purchase all </w:t>
      </w:r>
      <w:r w:rsidR="00062271">
        <w:rPr>
          <w:rFonts w:asciiTheme="majorHAnsi" w:hAnsiTheme="majorHAnsi"/>
          <w:b/>
          <w:bCs/>
          <w:i/>
        </w:rPr>
        <w:t>excess</w:t>
      </w:r>
      <w:r w:rsidR="00062271" w:rsidRPr="00104C4F">
        <w:rPr>
          <w:rFonts w:asciiTheme="majorHAnsi" w:hAnsiTheme="majorHAnsi"/>
          <w:b/>
          <w:bCs/>
          <w:i/>
        </w:rPr>
        <w:t xml:space="preserve"> </w:t>
      </w:r>
      <w:r w:rsidR="007A4878" w:rsidRPr="00104C4F">
        <w:rPr>
          <w:rFonts w:asciiTheme="majorHAnsi" w:hAnsiTheme="majorHAnsi"/>
          <w:b/>
          <w:bCs/>
          <w:i/>
        </w:rPr>
        <w:t xml:space="preserve">Hetch Hetchy </w:t>
      </w:r>
      <w:r w:rsidR="00062271">
        <w:rPr>
          <w:rFonts w:asciiTheme="majorHAnsi" w:hAnsiTheme="majorHAnsi"/>
          <w:b/>
          <w:bCs/>
          <w:i/>
        </w:rPr>
        <w:t>generation, if and</w:t>
      </w:r>
      <w:r w:rsidR="00062271" w:rsidRPr="00104C4F">
        <w:rPr>
          <w:rFonts w:asciiTheme="majorHAnsi" w:hAnsiTheme="majorHAnsi"/>
          <w:b/>
          <w:bCs/>
          <w:i/>
        </w:rPr>
        <w:t xml:space="preserve"> </w:t>
      </w:r>
      <w:r w:rsidR="007A4878" w:rsidRPr="00104C4F">
        <w:rPr>
          <w:rFonts w:asciiTheme="majorHAnsi" w:hAnsiTheme="majorHAnsi"/>
          <w:b/>
          <w:bCs/>
          <w:i/>
        </w:rPr>
        <w:t xml:space="preserve">when doing so will be cost-effective </w:t>
      </w:r>
      <w:r w:rsidR="00062271">
        <w:rPr>
          <w:rFonts w:asciiTheme="majorHAnsi" w:hAnsiTheme="majorHAnsi"/>
          <w:b/>
          <w:bCs/>
          <w:i/>
        </w:rPr>
        <w:t xml:space="preserve">under </w:t>
      </w:r>
      <w:r w:rsidR="007A4878" w:rsidRPr="00104C4F">
        <w:rPr>
          <w:rFonts w:asciiTheme="majorHAnsi" w:hAnsiTheme="majorHAnsi"/>
          <w:b/>
          <w:bCs/>
          <w:i/>
        </w:rPr>
        <w:t xml:space="preserve">the terms of the SENA contract and </w:t>
      </w:r>
      <w:r w:rsidR="00062271">
        <w:rPr>
          <w:rFonts w:asciiTheme="majorHAnsi" w:hAnsiTheme="majorHAnsi"/>
          <w:b/>
          <w:bCs/>
          <w:i/>
        </w:rPr>
        <w:t>in compliance with the Raker Act</w:t>
      </w:r>
      <w:r w:rsidR="007A4878" w:rsidRPr="00104C4F">
        <w:rPr>
          <w:rFonts w:asciiTheme="majorHAnsi" w:hAnsiTheme="majorHAnsi"/>
          <w:bCs/>
        </w:rPr>
        <w:t>.</w:t>
      </w:r>
    </w:p>
    <w:p w:rsidR="00062271" w:rsidRDefault="00062271" w:rsidP="00062271">
      <w:pPr>
        <w:pStyle w:val="ListParagraph"/>
        <w:spacing w:line="288" w:lineRule="auto"/>
        <w:rPr>
          <w:rFonts w:asciiTheme="majorHAnsi" w:hAnsiTheme="majorHAnsi"/>
          <w:bCs/>
        </w:rPr>
      </w:pPr>
    </w:p>
    <w:tbl>
      <w:tblPr>
        <w:tblW w:w="0" w:type="auto"/>
        <w:tblCellMar>
          <w:left w:w="0" w:type="dxa"/>
          <w:right w:w="0" w:type="dxa"/>
        </w:tblCellMar>
        <w:tblLook w:val="04A0" w:firstRow="1" w:lastRow="0" w:firstColumn="1" w:lastColumn="0" w:noHBand="0" w:noVBand="1"/>
      </w:tblPr>
      <w:tblGrid>
        <w:gridCol w:w="6768"/>
        <w:gridCol w:w="2808"/>
      </w:tblGrid>
      <w:tr w:rsidR="00062271" w:rsidRPr="00104C4F" w:rsidTr="009057C0">
        <w:tc>
          <w:tcPr>
            <w:tcW w:w="6768" w:type="dxa"/>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062271" w:rsidRPr="00104C4F" w:rsidRDefault="00062271" w:rsidP="009057C0">
            <w:pPr>
              <w:spacing w:line="288" w:lineRule="auto"/>
              <w:rPr>
                <w:rFonts w:asciiTheme="majorHAnsi" w:hAnsiTheme="majorHAnsi" w:cs="Calibri"/>
                <w:b/>
                <w:bCs/>
                <w:i/>
                <w:iCs/>
              </w:rPr>
            </w:pPr>
            <w:r w:rsidRPr="00104C4F">
              <w:rPr>
                <w:rFonts w:asciiTheme="majorHAnsi" w:hAnsiTheme="majorHAnsi"/>
                <w:b/>
                <w:bCs/>
                <w:i/>
                <w:iCs/>
              </w:rPr>
              <w:t>Work Task</w:t>
            </w:r>
          </w:p>
        </w:tc>
        <w:tc>
          <w:tcPr>
            <w:tcW w:w="2808"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062271" w:rsidRPr="00104C4F" w:rsidRDefault="00062271" w:rsidP="009057C0">
            <w:pPr>
              <w:spacing w:line="288" w:lineRule="auto"/>
              <w:rPr>
                <w:rFonts w:asciiTheme="majorHAnsi" w:hAnsiTheme="majorHAnsi" w:cs="Calibri"/>
                <w:b/>
                <w:bCs/>
                <w:i/>
                <w:iCs/>
              </w:rPr>
            </w:pPr>
            <w:r w:rsidRPr="00104C4F">
              <w:rPr>
                <w:rFonts w:asciiTheme="majorHAnsi" w:hAnsiTheme="majorHAnsi"/>
                <w:b/>
                <w:bCs/>
                <w:i/>
                <w:iCs/>
              </w:rPr>
              <w:t>Timing</w:t>
            </w:r>
          </w:p>
        </w:tc>
      </w:tr>
      <w:tr w:rsidR="00062271" w:rsidRPr="00104C4F" w:rsidTr="009057C0">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271" w:rsidRPr="00104C4F" w:rsidRDefault="00062271" w:rsidP="00BF7139">
            <w:pPr>
              <w:spacing w:line="288" w:lineRule="auto"/>
              <w:rPr>
                <w:rFonts w:asciiTheme="majorHAnsi" w:hAnsiTheme="majorHAnsi" w:cs="Calibri"/>
              </w:rPr>
            </w:pPr>
            <w:r w:rsidRPr="00104C4F">
              <w:rPr>
                <w:rFonts w:asciiTheme="majorHAnsi" w:hAnsiTheme="majorHAnsi"/>
                <w:bCs/>
              </w:rPr>
              <w:t xml:space="preserve">Develop an MOU with Hetch Hetchy for CPSF to take </w:t>
            </w:r>
            <w:r>
              <w:rPr>
                <w:rFonts w:asciiTheme="majorHAnsi" w:hAnsiTheme="majorHAnsi"/>
                <w:bCs/>
              </w:rPr>
              <w:t xml:space="preserve">available </w:t>
            </w:r>
            <w:r w:rsidRPr="00104C4F">
              <w:rPr>
                <w:rFonts w:asciiTheme="majorHAnsi" w:hAnsiTheme="majorHAnsi"/>
                <w:bCs/>
              </w:rPr>
              <w:t>excess power</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2271" w:rsidRPr="00104C4F" w:rsidRDefault="00062271" w:rsidP="009057C0">
            <w:pPr>
              <w:spacing w:line="288" w:lineRule="auto"/>
              <w:rPr>
                <w:rFonts w:asciiTheme="majorHAnsi" w:hAnsiTheme="majorHAnsi" w:cs="Calibri"/>
              </w:rPr>
            </w:pPr>
            <w:r>
              <w:rPr>
                <w:rFonts w:asciiTheme="majorHAnsi" w:hAnsiTheme="majorHAnsi"/>
                <w:bCs/>
              </w:rPr>
              <w:t>Immediately after approval of not-to-exceed rates</w:t>
            </w:r>
          </w:p>
        </w:tc>
      </w:tr>
      <w:tr w:rsidR="00062271" w:rsidRPr="00104C4F" w:rsidTr="009057C0">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2271" w:rsidRPr="00104C4F" w:rsidRDefault="00062271" w:rsidP="00BF7139">
            <w:pPr>
              <w:spacing w:line="288" w:lineRule="auto"/>
              <w:rPr>
                <w:rFonts w:asciiTheme="majorHAnsi" w:hAnsiTheme="majorHAnsi"/>
              </w:rPr>
            </w:pPr>
            <w:r w:rsidRPr="00104C4F">
              <w:rPr>
                <w:rFonts w:asciiTheme="majorHAnsi" w:hAnsiTheme="majorHAnsi"/>
                <w:bCs/>
              </w:rPr>
              <w:t xml:space="preserve">Work with </w:t>
            </w:r>
            <w:r>
              <w:rPr>
                <w:rFonts w:asciiTheme="majorHAnsi" w:hAnsiTheme="majorHAnsi"/>
                <w:bCs/>
              </w:rPr>
              <w:t>Power Enterprise staff to determine</w:t>
            </w:r>
            <w:r w:rsidRPr="00104C4F">
              <w:rPr>
                <w:rFonts w:asciiTheme="majorHAnsi" w:hAnsiTheme="majorHAnsi"/>
                <w:bCs/>
              </w:rPr>
              <w:t xml:space="preserve"> whether CPSF can be a higher priority customer in the longer term</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tcPr>
          <w:p w:rsidR="00062271" w:rsidRDefault="00062271" w:rsidP="009057C0">
            <w:pPr>
              <w:spacing w:line="288" w:lineRule="auto"/>
              <w:rPr>
                <w:rFonts w:asciiTheme="majorHAnsi" w:hAnsiTheme="majorHAnsi"/>
              </w:rPr>
            </w:pPr>
            <w:r>
              <w:rPr>
                <w:rFonts w:asciiTheme="majorHAnsi" w:hAnsiTheme="majorHAnsi"/>
                <w:bCs/>
              </w:rPr>
              <w:t>Year 1</w:t>
            </w:r>
          </w:p>
        </w:tc>
      </w:tr>
      <w:tr w:rsidR="00062271" w:rsidRPr="00104C4F" w:rsidTr="009057C0">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271" w:rsidRPr="00104C4F" w:rsidRDefault="00062271" w:rsidP="009057C0">
            <w:pPr>
              <w:spacing w:line="288" w:lineRule="auto"/>
              <w:rPr>
                <w:rFonts w:asciiTheme="majorHAnsi" w:hAnsiTheme="majorHAnsi" w:cs="Calibri"/>
              </w:rPr>
            </w:pPr>
            <w:r w:rsidRPr="00104C4F">
              <w:rPr>
                <w:rFonts w:asciiTheme="majorHAnsi" w:hAnsiTheme="majorHAnsi"/>
                <w:bCs/>
              </w:rPr>
              <w:t>Evaluate prospects for CPSF development of “in-pipe” small hydro</w:t>
            </w:r>
            <w:r w:rsidR="00496A1F">
              <w:rPr>
                <w:rFonts w:asciiTheme="majorHAnsi" w:hAnsiTheme="majorHAnsi"/>
                <w:bCs/>
              </w:rPr>
              <w:t xml:space="preserve"> such as University Mound</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2271" w:rsidRPr="00104C4F" w:rsidRDefault="00062271" w:rsidP="009057C0">
            <w:pPr>
              <w:spacing w:line="288" w:lineRule="auto"/>
              <w:rPr>
                <w:rFonts w:asciiTheme="majorHAnsi" w:hAnsiTheme="majorHAnsi" w:cs="Calibri"/>
              </w:rPr>
            </w:pPr>
            <w:r>
              <w:rPr>
                <w:rFonts w:asciiTheme="majorHAnsi" w:hAnsiTheme="majorHAnsi"/>
                <w:bCs/>
              </w:rPr>
              <w:t>Immediately after approval of not-to-exceed rates</w:t>
            </w:r>
          </w:p>
        </w:tc>
      </w:tr>
    </w:tbl>
    <w:p w:rsidR="00B361E4" w:rsidRPr="00116FA2" w:rsidRDefault="00B361E4" w:rsidP="00D246DB">
      <w:pPr>
        <w:rPr>
          <w:rFonts w:asciiTheme="majorHAnsi" w:hAnsiTheme="majorHAnsi"/>
          <w:lang w:bidi="en-US"/>
        </w:rPr>
      </w:pPr>
    </w:p>
    <w:p w:rsidR="00D246DB" w:rsidRPr="00116FA2" w:rsidRDefault="00D246DB" w:rsidP="00073EA4">
      <w:pPr>
        <w:pStyle w:val="Heading1"/>
        <w:numPr>
          <w:ilvl w:val="0"/>
          <w:numId w:val="0"/>
        </w:numPr>
      </w:pPr>
    </w:p>
    <w:p w:rsidR="00D246DB" w:rsidRPr="00116FA2" w:rsidRDefault="00D246DB" w:rsidP="00073EA4">
      <w:pPr>
        <w:pStyle w:val="Heading1"/>
        <w:rPr>
          <w:color w:val="000000"/>
          <w14:textFill>
            <w14:solidFill>
              <w14:srgbClr w14:val="000000">
                <w14:lumMod w14:val="65000"/>
                <w14:lumOff w14:val="35000"/>
              </w14:srgbClr>
            </w14:solidFill>
          </w14:textFill>
        </w:rPr>
      </w:pPr>
      <w:r>
        <w:t>FUTURE MARKET PURCHASES</w:t>
      </w:r>
    </w:p>
    <w:p w:rsidR="00D246DB" w:rsidRDefault="00D246DB" w:rsidP="00D246DB">
      <w:pPr>
        <w:rPr>
          <w:rFonts w:asciiTheme="majorHAnsi" w:hAnsiTheme="majorHAnsi"/>
          <w:lang w:bidi="en-US"/>
        </w:rPr>
      </w:pPr>
    </w:p>
    <w:p w:rsidR="00CF7DD0" w:rsidRDefault="00CF7DD0" w:rsidP="00CF7DD0">
      <w:pPr>
        <w:spacing w:line="288" w:lineRule="auto"/>
        <w:rPr>
          <w:rFonts w:asciiTheme="majorHAnsi" w:hAnsiTheme="majorHAnsi"/>
          <w:bCs/>
        </w:rPr>
      </w:pPr>
      <w:r w:rsidRPr="00104C4F">
        <w:rPr>
          <w:rFonts w:asciiTheme="majorHAnsi" w:hAnsiTheme="majorHAnsi"/>
          <w:bCs/>
        </w:rPr>
        <w:t xml:space="preserve">Even </w:t>
      </w:r>
      <w:r>
        <w:rPr>
          <w:rFonts w:asciiTheme="majorHAnsi" w:hAnsiTheme="majorHAnsi"/>
          <w:bCs/>
        </w:rPr>
        <w:t>under an extremely</w:t>
      </w:r>
      <w:r w:rsidRPr="00104C4F">
        <w:rPr>
          <w:rFonts w:asciiTheme="majorHAnsi" w:hAnsiTheme="majorHAnsi"/>
          <w:bCs/>
        </w:rPr>
        <w:t xml:space="preserve"> successful local build-out, CPSF will need to buy and sell power through California’s energy grid because the nature and timing of power produced by local resources will not correspond exactly to local demand. During the program’s first 4.5 years, CPSF plans to rely </w:t>
      </w:r>
      <w:r>
        <w:rPr>
          <w:rFonts w:asciiTheme="majorHAnsi" w:hAnsiTheme="majorHAnsi"/>
          <w:bCs/>
        </w:rPr>
        <w:t xml:space="preserve">mainly </w:t>
      </w:r>
      <w:r w:rsidRPr="00104C4F">
        <w:rPr>
          <w:rFonts w:asciiTheme="majorHAnsi" w:hAnsiTheme="majorHAnsi"/>
          <w:bCs/>
        </w:rPr>
        <w:t>on SENA for 30MW of customer load. As local resources come on</w:t>
      </w:r>
      <w:r>
        <w:rPr>
          <w:rFonts w:asciiTheme="majorHAnsi" w:hAnsiTheme="majorHAnsi"/>
          <w:bCs/>
        </w:rPr>
        <w:t>-</w:t>
      </w:r>
      <w:r w:rsidRPr="00104C4F">
        <w:rPr>
          <w:rFonts w:asciiTheme="majorHAnsi" w:hAnsiTheme="majorHAnsi"/>
          <w:bCs/>
        </w:rPr>
        <w:t>line, they w</w:t>
      </w:r>
      <w:r>
        <w:rPr>
          <w:rFonts w:asciiTheme="majorHAnsi" w:hAnsiTheme="majorHAnsi"/>
          <w:bCs/>
        </w:rPr>
        <w:t>ill</w:t>
      </w:r>
      <w:r w:rsidRPr="00104C4F">
        <w:rPr>
          <w:rFonts w:asciiTheme="majorHAnsi" w:hAnsiTheme="majorHAnsi"/>
          <w:bCs/>
        </w:rPr>
        <w:t xml:space="preserve"> either supplant SENA purchases or permit CPSF to </w:t>
      </w:r>
      <w:r>
        <w:rPr>
          <w:rFonts w:asciiTheme="majorHAnsi" w:hAnsiTheme="majorHAnsi"/>
          <w:bCs/>
        </w:rPr>
        <w:t xml:space="preserve">expand by </w:t>
      </w:r>
      <w:r w:rsidRPr="00104C4F">
        <w:rPr>
          <w:rFonts w:asciiTheme="majorHAnsi" w:hAnsiTheme="majorHAnsi"/>
          <w:bCs/>
        </w:rPr>
        <w:t>add</w:t>
      </w:r>
      <w:r>
        <w:rPr>
          <w:rFonts w:asciiTheme="majorHAnsi" w:hAnsiTheme="majorHAnsi"/>
          <w:bCs/>
        </w:rPr>
        <w:t>ing</w:t>
      </w:r>
      <w:r w:rsidRPr="00104C4F">
        <w:rPr>
          <w:rFonts w:asciiTheme="majorHAnsi" w:hAnsiTheme="majorHAnsi"/>
          <w:bCs/>
        </w:rPr>
        <w:t xml:space="preserve"> customer accounts.</w:t>
      </w:r>
    </w:p>
    <w:p w:rsidR="00CF7DD0" w:rsidRPr="00104C4F" w:rsidRDefault="00CF7DD0" w:rsidP="00CF7DD0">
      <w:pPr>
        <w:spacing w:line="288" w:lineRule="auto"/>
        <w:rPr>
          <w:rFonts w:asciiTheme="majorHAnsi" w:hAnsiTheme="majorHAnsi"/>
          <w:bCs/>
        </w:rPr>
      </w:pPr>
    </w:p>
    <w:p w:rsidR="00CF7DD0" w:rsidRDefault="00CF7DD0" w:rsidP="00CF7DD0">
      <w:pPr>
        <w:spacing w:line="288" w:lineRule="auto"/>
        <w:rPr>
          <w:rFonts w:asciiTheme="majorHAnsi" w:hAnsiTheme="majorHAnsi"/>
          <w:bCs/>
        </w:rPr>
      </w:pPr>
      <w:r w:rsidRPr="00104C4F">
        <w:rPr>
          <w:rFonts w:asciiTheme="majorHAnsi" w:hAnsiTheme="majorHAnsi"/>
          <w:bCs/>
        </w:rPr>
        <w:t>CPSF has not yet determined how to manage scheduling, sales and procurement at the end of the SENA contract.  If it is to continue to rely on one or multiple third</w:t>
      </w:r>
      <w:r>
        <w:rPr>
          <w:rFonts w:asciiTheme="majorHAnsi" w:hAnsiTheme="majorHAnsi"/>
          <w:bCs/>
        </w:rPr>
        <w:t>-</w:t>
      </w:r>
      <w:r w:rsidRPr="00104C4F">
        <w:rPr>
          <w:rFonts w:asciiTheme="majorHAnsi" w:hAnsiTheme="majorHAnsi"/>
          <w:bCs/>
        </w:rPr>
        <w:t xml:space="preserve">party procurement agents, CPSF would need to issue another RFP, </w:t>
      </w:r>
      <w:r w:rsidR="00AF3CCA">
        <w:rPr>
          <w:rFonts w:asciiTheme="majorHAnsi" w:hAnsiTheme="majorHAnsi"/>
          <w:bCs/>
        </w:rPr>
        <w:t>likely toward</w:t>
      </w:r>
      <w:r w:rsidRPr="00104C4F">
        <w:rPr>
          <w:rFonts w:asciiTheme="majorHAnsi" w:hAnsiTheme="majorHAnsi"/>
          <w:bCs/>
        </w:rPr>
        <w:t xml:space="preserve"> the end of the program’s second year.  </w:t>
      </w:r>
      <w:r w:rsidR="00AF3CCA">
        <w:rPr>
          <w:rFonts w:asciiTheme="majorHAnsi" w:hAnsiTheme="majorHAnsi"/>
          <w:bCs/>
        </w:rPr>
        <w:t>Alternatively, the SFPUC could</w:t>
      </w:r>
      <w:r w:rsidRPr="00104C4F">
        <w:rPr>
          <w:rFonts w:asciiTheme="majorHAnsi" w:hAnsiTheme="majorHAnsi"/>
          <w:bCs/>
        </w:rPr>
        <w:t xml:space="preserve"> develop internal capacity for all or some of CPSF’s procurement needs.  The SFPUC already has expertise in this area </w:t>
      </w:r>
      <w:r w:rsidR="00AF3CCA">
        <w:rPr>
          <w:rFonts w:asciiTheme="majorHAnsi" w:hAnsiTheme="majorHAnsi"/>
          <w:bCs/>
        </w:rPr>
        <w:t xml:space="preserve">as a publicly-owned utility </w:t>
      </w:r>
      <w:r w:rsidRPr="00104C4F">
        <w:rPr>
          <w:rFonts w:asciiTheme="majorHAnsi" w:hAnsiTheme="majorHAnsi"/>
          <w:bCs/>
        </w:rPr>
        <w:t xml:space="preserve">because the Hetch Hetchy </w:t>
      </w:r>
      <w:r w:rsidR="00AF3CCA">
        <w:rPr>
          <w:rFonts w:asciiTheme="majorHAnsi" w:hAnsiTheme="majorHAnsi"/>
          <w:bCs/>
        </w:rPr>
        <w:t xml:space="preserve">Power System </w:t>
      </w:r>
      <w:r w:rsidRPr="00104C4F">
        <w:rPr>
          <w:rFonts w:asciiTheme="majorHAnsi" w:hAnsiTheme="majorHAnsi"/>
          <w:bCs/>
        </w:rPr>
        <w:t xml:space="preserve"> serves San Francisco’s municipal load.  </w:t>
      </w:r>
      <w:r w:rsidR="00AF3CCA">
        <w:rPr>
          <w:rFonts w:asciiTheme="majorHAnsi" w:hAnsiTheme="majorHAnsi"/>
          <w:bCs/>
        </w:rPr>
        <w:t>M</w:t>
      </w:r>
      <w:r w:rsidRPr="00104C4F">
        <w:rPr>
          <w:rFonts w:asciiTheme="majorHAnsi" w:hAnsiTheme="majorHAnsi"/>
          <w:bCs/>
        </w:rPr>
        <w:t>ore centralized control of this function may permit more cost-effective deployment of local energy resources and more cost-effective purchasing on behalf of the City overall.</w:t>
      </w:r>
    </w:p>
    <w:p w:rsidR="00CF7DD0" w:rsidRPr="00104C4F" w:rsidRDefault="00CF7DD0" w:rsidP="00CF7DD0">
      <w:pPr>
        <w:spacing w:line="288" w:lineRule="auto"/>
        <w:rPr>
          <w:rFonts w:asciiTheme="majorHAnsi" w:hAnsiTheme="majorHAnsi"/>
          <w:bCs/>
        </w:rPr>
      </w:pPr>
    </w:p>
    <w:p w:rsidR="00CF7DD0" w:rsidRPr="00104C4F" w:rsidRDefault="00AF3CCA" w:rsidP="00CF7DD0">
      <w:pPr>
        <w:spacing w:line="288" w:lineRule="auto"/>
        <w:rPr>
          <w:rFonts w:asciiTheme="majorHAnsi" w:hAnsiTheme="majorHAnsi"/>
          <w:b/>
          <w:bCs/>
          <w:i/>
        </w:rPr>
      </w:pPr>
      <w:r>
        <w:rPr>
          <w:rFonts w:asciiTheme="majorHAnsi" w:hAnsiTheme="majorHAnsi"/>
          <w:b/>
          <w:bCs/>
          <w:i/>
        </w:rPr>
        <w:t>Potential Concerns</w:t>
      </w:r>
    </w:p>
    <w:p w:rsidR="00CF7DD0" w:rsidRPr="00104C4F" w:rsidRDefault="00CF7DD0" w:rsidP="00CF7DD0">
      <w:pPr>
        <w:pStyle w:val="ListParagraph"/>
        <w:numPr>
          <w:ilvl w:val="0"/>
          <w:numId w:val="16"/>
        </w:numPr>
        <w:spacing w:line="288" w:lineRule="auto"/>
        <w:rPr>
          <w:rFonts w:asciiTheme="majorHAnsi" w:hAnsiTheme="majorHAnsi"/>
          <w:bCs/>
        </w:rPr>
      </w:pPr>
      <w:r w:rsidRPr="00104C4F">
        <w:rPr>
          <w:rFonts w:asciiTheme="majorHAnsi" w:hAnsiTheme="majorHAnsi"/>
          <w:bCs/>
        </w:rPr>
        <w:t>Whether CPSF should continue to contract with third</w:t>
      </w:r>
      <w:r w:rsidR="00AF3CCA">
        <w:rPr>
          <w:rFonts w:asciiTheme="majorHAnsi" w:hAnsiTheme="majorHAnsi"/>
          <w:bCs/>
        </w:rPr>
        <w:t>-</w:t>
      </w:r>
      <w:r w:rsidRPr="00104C4F">
        <w:rPr>
          <w:rFonts w:asciiTheme="majorHAnsi" w:hAnsiTheme="majorHAnsi"/>
          <w:bCs/>
        </w:rPr>
        <w:t>party agents for all or some portion of market purchases and sales;</w:t>
      </w:r>
    </w:p>
    <w:p w:rsidR="00CF7DD0" w:rsidRPr="00104C4F" w:rsidRDefault="00CF7DD0" w:rsidP="00CF7DD0">
      <w:pPr>
        <w:pStyle w:val="ListParagraph"/>
        <w:numPr>
          <w:ilvl w:val="0"/>
          <w:numId w:val="16"/>
        </w:numPr>
        <w:spacing w:line="288" w:lineRule="auto"/>
        <w:rPr>
          <w:rFonts w:asciiTheme="majorHAnsi" w:hAnsiTheme="majorHAnsi"/>
          <w:bCs/>
        </w:rPr>
      </w:pPr>
      <w:r w:rsidRPr="00104C4F">
        <w:rPr>
          <w:rFonts w:asciiTheme="majorHAnsi" w:hAnsiTheme="majorHAnsi"/>
          <w:bCs/>
        </w:rPr>
        <w:t>Whether CPSF should expand existing SFPUC capacity to procure and schedule electricity deliveries, and contract for long term purchases</w:t>
      </w:r>
      <w:r w:rsidR="00AF3CCA">
        <w:rPr>
          <w:rFonts w:asciiTheme="majorHAnsi" w:hAnsiTheme="majorHAnsi"/>
          <w:bCs/>
        </w:rPr>
        <w:t>.</w:t>
      </w:r>
      <w:r w:rsidRPr="00104C4F">
        <w:rPr>
          <w:rFonts w:asciiTheme="majorHAnsi" w:hAnsiTheme="majorHAnsi"/>
          <w:bCs/>
        </w:rPr>
        <w:t xml:space="preserve"> </w:t>
      </w:r>
    </w:p>
    <w:p w:rsidR="00CF7DD0" w:rsidRPr="00104C4F" w:rsidRDefault="00CF7DD0" w:rsidP="00CF7DD0">
      <w:pPr>
        <w:pStyle w:val="ListParagraph"/>
        <w:spacing w:line="288" w:lineRule="auto"/>
        <w:rPr>
          <w:rFonts w:asciiTheme="majorHAnsi" w:hAnsiTheme="majorHAnsi"/>
          <w:bCs/>
        </w:rPr>
      </w:pPr>
    </w:p>
    <w:p w:rsidR="00CF7DD0" w:rsidRPr="00F649D2" w:rsidRDefault="00CF7DD0" w:rsidP="00CF7DD0">
      <w:pPr>
        <w:spacing w:line="288" w:lineRule="auto"/>
        <w:rPr>
          <w:rFonts w:asciiTheme="majorHAnsi" w:hAnsiTheme="majorHAnsi"/>
          <w:b/>
          <w:bCs/>
          <w:i/>
        </w:rPr>
      </w:pPr>
      <w:r w:rsidRPr="00F649D2">
        <w:rPr>
          <w:rFonts w:asciiTheme="majorHAnsi" w:hAnsiTheme="majorHAnsi"/>
          <w:b/>
          <w:bCs/>
          <w:i/>
          <w:u w:val="single"/>
        </w:rPr>
        <w:t xml:space="preserve">STRATEGY </w:t>
      </w:r>
      <w:r w:rsidR="008B6EC4">
        <w:rPr>
          <w:rFonts w:asciiTheme="majorHAnsi" w:hAnsiTheme="majorHAnsi"/>
          <w:b/>
          <w:bCs/>
          <w:i/>
          <w:u w:val="single"/>
        </w:rPr>
        <w:t>#1</w:t>
      </w:r>
      <w:r w:rsidR="00735550">
        <w:rPr>
          <w:rFonts w:asciiTheme="majorHAnsi" w:hAnsiTheme="majorHAnsi"/>
          <w:b/>
          <w:bCs/>
          <w:i/>
          <w:u w:val="single"/>
        </w:rPr>
        <w:t>3</w:t>
      </w:r>
      <w:r w:rsidRPr="00F649D2">
        <w:rPr>
          <w:rFonts w:asciiTheme="majorHAnsi" w:hAnsiTheme="majorHAnsi"/>
          <w:b/>
          <w:bCs/>
          <w:i/>
          <w:u w:val="single"/>
        </w:rPr>
        <w:t>:</w:t>
      </w:r>
      <w:r w:rsidRPr="00F649D2">
        <w:rPr>
          <w:rFonts w:asciiTheme="majorHAnsi" w:hAnsiTheme="majorHAnsi"/>
          <w:b/>
          <w:bCs/>
          <w:i/>
        </w:rPr>
        <w:t xml:space="preserve">  CPSF will begin planning for </w:t>
      </w:r>
      <w:r w:rsidR="00AF3CCA" w:rsidRPr="00F649D2">
        <w:rPr>
          <w:rFonts w:asciiTheme="majorHAnsi" w:hAnsiTheme="majorHAnsi"/>
          <w:b/>
          <w:bCs/>
          <w:i/>
        </w:rPr>
        <w:t>the</w:t>
      </w:r>
      <w:r w:rsidR="002007B3">
        <w:rPr>
          <w:rFonts w:asciiTheme="majorHAnsi" w:hAnsiTheme="majorHAnsi"/>
          <w:b/>
          <w:bCs/>
          <w:i/>
        </w:rPr>
        <w:t xml:space="preserve"> possible</w:t>
      </w:r>
      <w:r w:rsidR="00AF3CCA" w:rsidRPr="00F649D2">
        <w:rPr>
          <w:rFonts w:asciiTheme="majorHAnsi" w:hAnsiTheme="majorHAnsi"/>
          <w:b/>
          <w:bCs/>
          <w:i/>
        </w:rPr>
        <w:t xml:space="preserve"> </w:t>
      </w:r>
      <w:r w:rsidR="002007B3">
        <w:rPr>
          <w:rFonts w:asciiTheme="majorHAnsi" w:hAnsiTheme="majorHAnsi"/>
          <w:b/>
          <w:bCs/>
          <w:i/>
        </w:rPr>
        <w:t xml:space="preserve">transfer of CPSF </w:t>
      </w:r>
      <w:r w:rsidRPr="00F649D2">
        <w:rPr>
          <w:rFonts w:asciiTheme="majorHAnsi" w:hAnsiTheme="majorHAnsi"/>
          <w:b/>
          <w:bCs/>
          <w:i/>
        </w:rPr>
        <w:t xml:space="preserve">procurement </w:t>
      </w:r>
      <w:r w:rsidR="002007B3">
        <w:rPr>
          <w:rFonts w:asciiTheme="majorHAnsi" w:hAnsiTheme="majorHAnsi"/>
          <w:b/>
          <w:bCs/>
          <w:i/>
        </w:rPr>
        <w:t>activities to SFPUC</w:t>
      </w:r>
      <w:r w:rsidR="00AF3CCA" w:rsidRPr="00F649D2">
        <w:rPr>
          <w:rFonts w:asciiTheme="majorHAnsi" w:hAnsiTheme="majorHAnsi"/>
          <w:b/>
          <w:bCs/>
          <w:i/>
        </w:rPr>
        <w:t xml:space="preserve">, </w:t>
      </w:r>
      <w:r w:rsidRPr="00F649D2">
        <w:rPr>
          <w:rFonts w:asciiTheme="majorHAnsi" w:hAnsiTheme="majorHAnsi"/>
          <w:b/>
          <w:bCs/>
          <w:i/>
        </w:rPr>
        <w:t xml:space="preserve">following the termination of the SENA contract. </w:t>
      </w:r>
    </w:p>
    <w:p w:rsidR="00CF7DD0" w:rsidRDefault="00CF7DD0" w:rsidP="00D246DB">
      <w:pPr>
        <w:rPr>
          <w:rFonts w:asciiTheme="majorHAnsi" w:hAnsiTheme="majorHAnsi"/>
          <w:b/>
          <w:bCs/>
          <w:i/>
        </w:rPr>
      </w:pPr>
    </w:p>
    <w:tbl>
      <w:tblPr>
        <w:tblStyle w:val="TableGrid"/>
        <w:tblW w:w="0" w:type="auto"/>
        <w:tblLook w:val="04A0" w:firstRow="1" w:lastRow="0" w:firstColumn="1" w:lastColumn="0" w:noHBand="0" w:noVBand="1"/>
      </w:tblPr>
      <w:tblGrid>
        <w:gridCol w:w="6768"/>
        <w:gridCol w:w="2808"/>
      </w:tblGrid>
      <w:tr w:rsidR="00AF3CCA" w:rsidRPr="00AF3CCA" w:rsidTr="009057C0">
        <w:tc>
          <w:tcPr>
            <w:tcW w:w="6768" w:type="dxa"/>
            <w:shd w:val="clear" w:color="auto" w:fill="9BBB59" w:themeFill="accent3"/>
            <w:vAlign w:val="center"/>
          </w:tcPr>
          <w:p w:rsidR="00AF3CCA" w:rsidRPr="00AF3CCA" w:rsidRDefault="00AF3CCA" w:rsidP="009057C0">
            <w:pPr>
              <w:spacing w:line="288" w:lineRule="auto"/>
              <w:rPr>
                <w:rFonts w:asciiTheme="majorHAnsi" w:hAnsiTheme="majorHAnsi"/>
                <w:b/>
                <w:bCs/>
                <w:i/>
              </w:rPr>
            </w:pPr>
            <w:r w:rsidRPr="00AF3CCA">
              <w:rPr>
                <w:rFonts w:asciiTheme="majorHAnsi" w:hAnsiTheme="majorHAnsi"/>
                <w:b/>
                <w:bCs/>
                <w:i/>
              </w:rPr>
              <w:t>Work Task</w:t>
            </w:r>
          </w:p>
        </w:tc>
        <w:tc>
          <w:tcPr>
            <w:tcW w:w="2808" w:type="dxa"/>
            <w:shd w:val="clear" w:color="auto" w:fill="9BBB59" w:themeFill="accent3"/>
            <w:vAlign w:val="center"/>
          </w:tcPr>
          <w:p w:rsidR="00AF3CCA" w:rsidRPr="00AF3CCA" w:rsidRDefault="00AF3CCA" w:rsidP="009057C0">
            <w:pPr>
              <w:spacing w:line="288" w:lineRule="auto"/>
              <w:rPr>
                <w:rFonts w:asciiTheme="majorHAnsi" w:hAnsiTheme="majorHAnsi"/>
                <w:b/>
                <w:bCs/>
                <w:i/>
              </w:rPr>
            </w:pPr>
            <w:r w:rsidRPr="00AF3CCA">
              <w:rPr>
                <w:rFonts w:asciiTheme="majorHAnsi" w:hAnsiTheme="majorHAnsi"/>
                <w:b/>
                <w:bCs/>
                <w:i/>
              </w:rPr>
              <w:t>Timing</w:t>
            </w:r>
          </w:p>
        </w:tc>
      </w:tr>
      <w:tr w:rsidR="00AF3CCA" w:rsidRPr="00AF3CCA" w:rsidTr="009057C0">
        <w:tc>
          <w:tcPr>
            <w:tcW w:w="6768" w:type="dxa"/>
            <w:vAlign w:val="center"/>
          </w:tcPr>
          <w:p w:rsidR="00AF3CCA" w:rsidRPr="00AF3CCA" w:rsidRDefault="002007B3" w:rsidP="002007B3">
            <w:pPr>
              <w:spacing w:line="288" w:lineRule="auto"/>
              <w:rPr>
                <w:rFonts w:asciiTheme="majorHAnsi" w:hAnsiTheme="majorHAnsi"/>
                <w:bCs/>
              </w:rPr>
            </w:pPr>
            <w:r>
              <w:rPr>
                <w:rFonts w:asciiTheme="majorHAnsi" w:hAnsiTheme="majorHAnsi"/>
                <w:bCs/>
              </w:rPr>
              <w:t>Evaluate</w:t>
            </w:r>
            <w:r w:rsidR="00AF3CCA" w:rsidRPr="00104C4F">
              <w:rPr>
                <w:rFonts w:asciiTheme="majorHAnsi" w:hAnsiTheme="majorHAnsi"/>
                <w:bCs/>
              </w:rPr>
              <w:t xml:space="preserve"> whether</w:t>
            </w:r>
            <w:r>
              <w:rPr>
                <w:rFonts w:asciiTheme="majorHAnsi" w:hAnsiTheme="majorHAnsi"/>
                <w:bCs/>
              </w:rPr>
              <w:t xml:space="preserve"> and to what extent</w:t>
            </w:r>
            <w:r w:rsidR="00AF3CCA" w:rsidRPr="00104C4F">
              <w:rPr>
                <w:rFonts w:asciiTheme="majorHAnsi" w:hAnsiTheme="majorHAnsi"/>
                <w:bCs/>
              </w:rPr>
              <w:t xml:space="preserve"> third</w:t>
            </w:r>
            <w:r w:rsidR="00405489">
              <w:rPr>
                <w:rFonts w:asciiTheme="majorHAnsi" w:hAnsiTheme="majorHAnsi"/>
                <w:bCs/>
              </w:rPr>
              <w:t>-</w:t>
            </w:r>
            <w:r w:rsidR="00AF3CCA" w:rsidRPr="00104C4F">
              <w:rPr>
                <w:rFonts w:asciiTheme="majorHAnsi" w:hAnsiTheme="majorHAnsi"/>
                <w:bCs/>
              </w:rPr>
              <w:t>party agents should  be used to procure</w:t>
            </w:r>
            <w:r>
              <w:rPr>
                <w:rFonts w:asciiTheme="majorHAnsi" w:hAnsiTheme="majorHAnsi"/>
                <w:bCs/>
              </w:rPr>
              <w:t xml:space="preserve"> energy, and capacity needs for in-house procurement services</w:t>
            </w:r>
          </w:p>
        </w:tc>
        <w:tc>
          <w:tcPr>
            <w:tcW w:w="2808" w:type="dxa"/>
            <w:vAlign w:val="center"/>
          </w:tcPr>
          <w:p w:rsidR="00AF3CCA" w:rsidRPr="00AF3CCA" w:rsidRDefault="00AF3CCA" w:rsidP="009057C0">
            <w:pPr>
              <w:spacing w:line="288" w:lineRule="auto"/>
              <w:rPr>
                <w:rFonts w:asciiTheme="majorHAnsi" w:hAnsiTheme="majorHAnsi"/>
                <w:bCs/>
              </w:rPr>
            </w:pPr>
            <w:r>
              <w:rPr>
                <w:rFonts w:asciiTheme="majorHAnsi" w:hAnsiTheme="majorHAnsi"/>
                <w:bCs/>
              </w:rPr>
              <w:t xml:space="preserve">Year 1 and </w:t>
            </w:r>
            <w:r w:rsidR="00F649D2">
              <w:rPr>
                <w:rFonts w:asciiTheme="majorHAnsi" w:hAnsiTheme="majorHAnsi"/>
                <w:bCs/>
              </w:rPr>
              <w:t>continuing</w:t>
            </w:r>
          </w:p>
        </w:tc>
      </w:tr>
      <w:tr w:rsidR="00AF3CCA" w:rsidRPr="00AF3CCA" w:rsidTr="009057C0">
        <w:tc>
          <w:tcPr>
            <w:tcW w:w="6768" w:type="dxa"/>
            <w:vAlign w:val="center"/>
          </w:tcPr>
          <w:p w:rsidR="00AF3CCA" w:rsidRPr="00AF3CCA" w:rsidRDefault="00AF3CCA" w:rsidP="009057C0">
            <w:pPr>
              <w:spacing w:line="288" w:lineRule="auto"/>
              <w:rPr>
                <w:rFonts w:asciiTheme="majorHAnsi" w:hAnsiTheme="majorHAnsi"/>
                <w:bCs/>
              </w:rPr>
            </w:pPr>
            <w:r w:rsidRPr="00104C4F">
              <w:rPr>
                <w:rFonts w:asciiTheme="majorHAnsi" w:hAnsiTheme="majorHAnsi"/>
                <w:bCs/>
              </w:rPr>
              <w:t>Issue RFP for procurement services</w:t>
            </w:r>
          </w:p>
        </w:tc>
        <w:tc>
          <w:tcPr>
            <w:tcW w:w="2808" w:type="dxa"/>
            <w:vAlign w:val="center"/>
          </w:tcPr>
          <w:p w:rsidR="00AF3CCA" w:rsidRPr="00AF3CCA" w:rsidRDefault="00AF3CCA" w:rsidP="009057C0">
            <w:pPr>
              <w:spacing w:line="288" w:lineRule="auto"/>
              <w:rPr>
                <w:rFonts w:asciiTheme="majorHAnsi" w:hAnsiTheme="majorHAnsi"/>
                <w:bCs/>
              </w:rPr>
            </w:pPr>
            <w:r>
              <w:rPr>
                <w:rFonts w:asciiTheme="majorHAnsi" w:hAnsiTheme="majorHAnsi"/>
                <w:bCs/>
              </w:rPr>
              <w:t>Year 2</w:t>
            </w:r>
            <w:r w:rsidR="00735550">
              <w:rPr>
                <w:rFonts w:asciiTheme="majorHAnsi" w:hAnsiTheme="majorHAnsi"/>
                <w:bCs/>
              </w:rPr>
              <w:t xml:space="preserve"> and subsequently as needed</w:t>
            </w:r>
          </w:p>
        </w:tc>
      </w:tr>
    </w:tbl>
    <w:p w:rsidR="00CF7DD0" w:rsidRPr="00116FA2" w:rsidRDefault="00CF7DD0" w:rsidP="00D246DB">
      <w:pPr>
        <w:rPr>
          <w:rFonts w:asciiTheme="majorHAnsi" w:hAnsiTheme="majorHAnsi"/>
          <w:lang w:bidi="en-US"/>
        </w:rPr>
      </w:pPr>
    </w:p>
    <w:p w:rsidR="00D246DB" w:rsidRPr="00116FA2" w:rsidRDefault="00D246DB" w:rsidP="00073EA4">
      <w:pPr>
        <w:pStyle w:val="Heading1"/>
        <w:numPr>
          <w:ilvl w:val="0"/>
          <w:numId w:val="0"/>
        </w:numPr>
      </w:pPr>
    </w:p>
    <w:p w:rsidR="00D246DB" w:rsidRPr="00116FA2" w:rsidRDefault="00D246DB" w:rsidP="00073EA4">
      <w:pPr>
        <w:pStyle w:val="Heading1"/>
        <w:rPr>
          <w:color w:val="000000"/>
          <w14:textFill>
            <w14:solidFill>
              <w14:srgbClr w14:val="000000">
                <w14:lumMod w14:val="65000"/>
                <w14:lumOff w14:val="35000"/>
              </w14:srgbClr>
            </w14:solidFill>
          </w14:textFill>
        </w:rPr>
      </w:pPr>
      <w:r>
        <w:t>TIMELINE</w:t>
      </w:r>
    </w:p>
    <w:p w:rsidR="00D246DB" w:rsidRDefault="00D246DB" w:rsidP="00D246DB">
      <w:pPr>
        <w:rPr>
          <w:rFonts w:asciiTheme="majorHAnsi" w:hAnsiTheme="majorHAnsi"/>
          <w:lang w:bidi="en-US"/>
        </w:rPr>
      </w:pPr>
    </w:p>
    <w:p w:rsidR="007B3F23" w:rsidRDefault="007B3F23" w:rsidP="00D246DB">
      <w:pPr>
        <w:rPr>
          <w:rFonts w:asciiTheme="majorHAnsi" w:hAnsiTheme="majorHAnsi"/>
          <w:b/>
          <w:bCs/>
          <w:i/>
        </w:rPr>
      </w:pPr>
      <w:r w:rsidRPr="007B3F23">
        <w:rPr>
          <w:rFonts w:asciiTheme="majorHAnsi" w:hAnsiTheme="majorHAnsi"/>
          <w:b/>
          <w:bCs/>
          <w:i/>
        </w:rPr>
        <w:t>[Placeholder for a table or timeline that takes the above work tasks and puts them in order chronologically]</w:t>
      </w:r>
    </w:p>
    <w:p w:rsidR="00DD0B7F" w:rsidRPr="007B3F23" w:rsidRDefault="00DD0B7F" w:rsidP="00D246DB">
      <w:pPr>
        <w:rPr>
          <w:rFonts w:asciiTheme="majorHAnsi" w:hAnsiTheme="majorHAnsi"/>
          <w:b/>
          <w:i/>
          <w:lang w:bidi="en-US"/>
        </w:rPr>
      </w:pPr>
    </w:p>
    <w:p w:rsidR="00D246DB" w:rsidRPr="00116FA2" w:rsidRDefault="00D246DB" w:rsidP="00073EA4">
      <w:pPr>
        <w:pStyle w:val="Heading1"/>
        <w:numPr>
          <w:ilvl w:val="0"/>
          <w:numId w:val="0"/>
        </w:numPr>
      </w:pPr>
    </w:p>
    <w:p w:rsidR="00D246DB" w:rsidRPr="00116FA2" w:rsidRDefault="00D246DB" w:rsidP="00073EA4">
      <w:pPr>
        <w:pStyle w:val="Heading1"/>
        <w:rPr>
          <w:color w:val="000000"/>
          <w14:textFill>
            <w14:solidFill>
              <w14:srgbClr w14:val="000000">
                <w14:lumMod w14:val="65000"/>
                <w14:lumOff w14:val="35000"/>
              </w14:srgbClr>
            </w14:solidFill>
          </w14:textFill>
        </w:rPr>
      </w:pPr>
      <w:r>
        <w:t>CONCLUSION</w:t>
      </w:r>
    </w:p>
    <w:p w:rsidR="00D246DB" w:rsidRPr="00116FA2" w:rsidRDefault="00D246DB" w:rsidP="00D246DB">
      <w:pPr>
        <w:rPr>
          <w:rFonts w:asciiTheme="majorHAnsi" w:hAnsiTheme="majorHAnsi"/>
          <w:lang w:bidi="en-US"/>
        </w:rPr>
      </w:pPr>
    </w:p>
    <w:p w:rsidR="00D246DB" w:rsidRPr="00116FA2" w:rsidRDefault="00D246DB" w:rsidP="00D246DB">
      <w:pPr>
        <w:rPr>
          <w:rFonts w:asciiTheme="majorHAnsi" w:hAnsiTheme="majorHAnsi"/>
          <w:lang w:bidi="en-US"/>
        </w:rPr>
      </w:pPr>
    </w:p>
    <w:p w:rsidR="00D246DB" w:rsidRPr="00116FA2" w:rsidRDefault="00D246DB" w:rsidP="00E5753C">
      <w:pPr>
        <w:spacing w:before="200" w:after="200" w:line="288" w:lineRule="auto"/>
        <w:ind w:firstLine="720"/>
        <w:jc w:val="both"/>
        <w:rPr>
          <w:rFonts w:asciiTheme="majorHAnsi" w:hAnsiTheme="majorHAnsi"/>
          <w:sz w:val="22"/>
          <w:szCs w:val="22"/>
        </w:rPr>
      </w:pPr>
    </w:p>
    <w:sectPr w:rsidR="00D246DB" w:rsidRPr="00116FA2" w:rsidSect="003347FB">
      <w:headerReference w:type="even" r:id="rId9"/>
      <w:headerReference w:type="default" r:id="rId10"/>
      <w:footerReference w:type="even" r:id="rId11"/>
      <w:footerReference w:type="default" r:id="rId12"/>
      <w:headerReference w:type="first" r:id="rId13"/>
      <w:footerReference w:type="first" r:id="rId14"/>
      <w:pgSz w:w="12240" w:h="15840"/>
      <w:pgMar w:top="193"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7C" w:rsidRDefault="0024767C" w:rsidP="00FF0782">
      <w:r>
        <w:separator/>
      </w:r>
    </w:p>
  </w:endnote>
  <w:endnote w:type="continuationSeparator" w:id="0">
    <w:p w:rsidR="0024767C" w:rsidRDefault="0024767C" w:rsidP="00FF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23" w:rsidRDefault="007B3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55" w:rsidRPr="000263F0" w:rsidRDefault="00792355" w:rsidP="00A1162C">
    <w:pPr>
      <w:pStyle w:val="Footer"/>
      <w:rPr>
        <w:rFonts w:ascii="Cambria" w:hAnsi="Cambria"/>
        <w:sz w:val="20"/>
        <w:szCs w:val="20"/>
      </w:rPr>
    </w:pPr>
    <w:r>
      <w:rPr>
        <w:rFonts w:ascii="Cambria" w:hAnsi="Cambria"/>
        <w:sz w:val="20"/>
        <w:szCs w:val="20"/>
      </w:rPr>
      <w:t>DRAFT</w:t>
    </w:r>
    <w:r>
      <w:rPr>
        <w:rFonts w:ascii="Cambria" w:hAnsi="Cambria"/>
        <w:sz w:val="20"/>
        <w:szCs w:val="20"/>
      </w:rPr>
      <w:tab/>
    </w:r>
    <w:r>
      <w:rPr>
        <w:rFonts w:ascii="Cambria" w:hAnsi="Cambria"/>
        <w:sz w:val="20"/>
        <w:szCs w:val="20"/>
      </w:rPr>
      <w:tab/>
    </w:r>
    <w:r w:rsidRPr="000263F0">
      <w:rPr>
        <w:rFonts w:ascii="Cambria" w:hAnsi="Cambria"/>
        <w:sz w:val="20"/>
        <w:szCs w:val="20"/>
      </w:rPr>
      <w:fldChar w:fldCharType="begin"/>
    </w:r>
    <w:r w:rsidRPr="000263F0">
      <w:rPr>
        <w:rFonts w:ascii="Cambria" w:hAnsi="Cambria"/>
        <w:sz w:val="20"/>
        <w:szCs w:val="20"/>
      </w:rPr>
      <w:instrText xml:space="preserve"> PAGE   \* MERGEFORMAT </w:instrText>
    </w:r>
    <w:r w:rsidRPr="000263F0">
      <w:rPr>
        <w:rFonts w:ascii="Cambria" w:hAnsi="Cambria"/>
        <w:sz w:val="20"/>
        <w:szCs w:val="20"/>
      </w:rPr>
      <w:fldChar w:fldCharType="separate"/>
    </w:r>
    <w:r w:rsidR="00F9240B">
      <w:rPr>
        <w:rFonts w:ascii="Cambria" w:hAnsi="Cambria"/>
        <w:noProof/>
        <w:sz w:val="20"/>
        <w:szCs w:val="20"/>
      </w:rPr>
      <w:t>8</w:t>
    </w:r>
    <w:r w:rsidRPr="000263F0">
      <w:rPr>
        <w:rFonts w:ascii="Cambria" w:hAnsi="Cambria"/>
        <w:sz w:val="20"/>
        <w:szCs w:val="20"/>
      </w:rPr>
      <w:fldChar w:fldCharType="end"/>
    </w:r>
  </w:p>
  <w:p w:rsidR="00792355" w:rsidRPr="000263F0" w:rsidRDefault="00792355">
    <w:pPr>
      <w:pStyle w:val="Footer"/>
      <w:rPr>
        <w:rFonts w:ascii="Cambria" w:hAnsi="Cambri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23" w:rsidRDefault="007B3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7C" w:rsidRDefault="0024767C" w:rsidP="00FF0782">
      <w:r>
        <w:separator/>
      </w:r>
    </w:p>
  </w:footnote>
  <w:footnote w:type="continuationSeparator" w:id="0">
    <w:p w:rsidR="0024767C" w:rsidRDefault="0024767C" w:rsidP="00FF0782">
      <w:r>
        <w:continuationSeparator/>
      </w:r>
    </w:p>
  </w:footnote>
  <w:footnote w:id="1">
    <w:p w:rsidR="00792355" w:rsidRDefault="00792355">
      <w:pPr>
        <w:pStyle w:val="FootnoteText"/>
      </w:pPr>
      <w:r>
        <w:rPr>
          <w:rStyle w:val="FootnoteReference"/>
        </w:rPr>
        <w:footnoteRef/>
      </w:r>
      <w:r>
        <w:t xml:space="preserve"> San Francisco Board of Supervisors Resolution 0348-12 (adopted September 18, 2012)</w:t>
      </w:r>
    </w:p>
  </w:footnote>
  <w:footnote w:id="2">
    <w:p w:rsidR="00792355" w:rsidRPr="00BF7139" w:rsidRDefault="00792355">
      <w:pPr>
        <w:pStyle w:val="FootnoteText"/>
        <w:rPr>
          <w:i/>
        </w:rPr>
      </w:pPr>
      <w:r>
        <w:rPr>
          <w:rStyle w:val="FootnoteReference"/>
        </w:rPr>
        <w:footnoteRef/>
      </w:r>
      <w:r>
        <w:t xml:space="preserve"> </w:t>
      </w:r>
      <w:r>
        <w:rPr>
          <w:i/>
        </w:rPr>
        <w:t>Ibid.</w:t>
      </w:r>
    </w:p>
  </w:footnote>
  <w:footnote w:id="3">
    <w:p w:rsidR="00792355" w:rsidRPr="00BF7139" w:rsidRDefault="00792355">
      <w:pPr>
        <w:pStyle w:val="FootnoteText"/>
        <w:rPr>
          <w:i/>
        </w:rPr>
      </w:pPr>
      <w:r>
        <w:rPr>
          <w:rStyle w:val="FootnoteReference"/>
        </w:rPr>
        <w:footnoteRef/>
      </w:r>
      <w:r>
        <w:t xml:space="preserve"> </w:t>
      </w:r>
      <w:r>
        <w:rPr>
          <w:i/>
        </w:rPr>
        <w:t>Ibid.</w:t>
      </w:r>
    </w:p>
  </w:footnote>
  <w:footnote w:id="4">
    <w:p w:rsidR="00792355" w:rsidRDefault="00792355">
      <w:pPr>
        <w:pStyle w:val="FootnoteText"/>
      </w:pPr>
      <w:r>
        <w:rPr>
          <w:rStyle w:val="FootnoteReference"/>
        </w:rPr>
        <w:footnoteRef/>
      </w:r>
      <w:r>
        <w:t xml:space="preserve"> San Francisco Board of Supervisors Resolution 227-08 (adopted May 13,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23" w:rsidRDefault="007B3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690" w:type="dxa"/>
      <w:tblBorders>
        <w:insideH w:val="single" w:sz="4" w:space="0" w:color="auto"/>
      </w:tblBorders>
      <w:tblLook w:val="04A0" w:firstRow="1" w:lastRow="0" w:firstColumn="1" w:lastColumn="0" w:noHBand="0" w:noVBand="1"/>
    </w:tblPr>
    <w:tblGrid>
      <w:gridCol w:w="5767"/>
      <w:gridCol w:w="4724"/>
    </w:tblGrid>
    <w:tr w:rsidR="00792355" w:rsidRPr="00116FA2" w:rsidTr="003347FB">
      <w:trPr>
        <w:trHeight w:val="567"/>
      </w:trPr>
      <w:tc>
        <w:tcPr>
          <w:tcW w:w="5767" w:type="dxa"/>
          <w:shd w:val="clear" w:color="auto" w:fill="auto"/>
        </w:tcPr>
        <w:p w:rsidR="00792355" w:rsidRPr="00B50D48" w:rsidRDefault="00792355" w:rsidP="003347FB">
          <w:pPr>
            <w:pStyle w:val="Header"/>
          </w:pPr>
          <w:r>
            <w:rPr>
              <w:noProof/>
            </w:rPr>
            <w:drawing>
              <wp:anchor distT="0" distB="0" distL="114300" distR="114300" simplePos="0" relativeHeight="251659264" behindDoc="1" locked="0" layoutInCell="1" allowOverlap="1" wp14:anchorId="3C52737E" wp14:editId="42257C52">
                <wp:simplePos x="0" y="0"/>
                <wp:positionH relativeFrom="column">
                  <wp:posOffset>15875</wp:posOffset>
                </wp:positionH>
                <wp:positionV relativeFrom="paragraph">
                  <wp:posOffset>-3175</wp:posOffset>
                </wp:positionV>
                <wp:extent cx="2813050" cy="889000"/>
                <wp:effectExtent l="0" t="0" r="6350" b="6350"/>
                <wp:wrapTight wrapText="bothSides">
                  <wp:wrapPolygon edited="0">
                    <wp:start x="0" y="0"/>
                    <wp:lineTo x="0" y="21291"/>
                    <wp:lineTo x="21502" y="21291"/>
                    <wp:lineTo x="21502" y="0"/>
                    <wp:lineTo x="0" y="0"/>
                  </wp:wrapPolygon>
                </wp:wrapTight>
                <wp:docPr id="36" name="Picture 36" descr="SFWPS-HORZ-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FWPS-HORZ-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0" cy="889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sdt>
            <w:sdtPr>
              <w:id w:val="-782962321"/>
              <w:docPartObj>
                <w:docPartGallery w:val="Watermarks"/>
                <w:docPartUnique/>
              </w:docPartObj>
            </w:sdtPr>
            <w:sdtEndPr/>
            <w:sdtContent>
              <w:r w:rsidR="0024767C">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tc>
      <w:tc>
        <w:tcPr>
          <w:tcW w:w="4724" w:type="dxa"/>
          <w:shd w:val="clear" w:color="auto" w:fill="auto"/>
        </w:tcPr>
        <w:p w:rsidR="00792355" w:rsidRPr="00116FA2" w:rsidRDefault="00792355" w:rsidP="003347FB">
          <w:pPr>
            <w:pStyle w:val="Heade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331F1D92" wp14:editId="4BBE4454">
                <wp:simplePos x="0" y="0"/>
                <wp:positionH relativeFrom="column">
                  <wp:posOffset>1046480</wp:posOffset>
                </wp:positionH>
                <wp:positionV relativeFrom="paragraph">
                  <wp:posOffset>-3175</wp:posOffset>
                </wp:positionV>
                <wp:extent cx="1673860" cy="883920"/>
                <wp:effectExtent l="0" t="0" r="254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3860" cy="8839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57216" behindDoc="1" locked="0" layoutInCell="1" allowOverlap="1" wp14:anchorId="5D501FA2" wp14:editId="65DA70E0">
                <wp:simplePos x="0" y="0"/>
                <wp:positionH relativeFrom="column">
                  <wp:posOffset>5486400</wp:posOffset>
                </wp:positionH>
                <wp:positionV relativeFrom="paragraph">
                  <wp:posOffset>457200</wp:posOffset>
                </wp:positionV>
                <wp:extent cx="1530985" cy="1020445"/>
                <wp:effectExtent l="0" t="0" r="0" b="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098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56192" behindDoc="1" locked="0" layoutInCell="1" allowOverlap="1" wp14:anchorId="08293837" wp14:editId="305E4C9B">
                <wp:simplePos x="0" y="0"/>
                <wp:positionH relativeFrom="column">
                  <wp:posOffset>5486400</wp:posOffset>
                </wp:positionH>
                <wp:positionV relativeFrom="paragraph">
                  <wp:posOffset>457200</wp:posOffset>
                </wp:positionV>
                <wp:extent cx="1530985" cy="1020445"/>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098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55168" behindDoc="1" locked="0" layoutInCell="1" allowOverlap="1" wp14:anchorId="2CAD99BF" wp14:editId="1AEFFA26">
                <wp:simplePos x="0" y="0"/>
                <wp:positionH relativeFrom="column">
                  <wp:posOffset>5486400</wp:posOffset>
                </wp:positionH>
                <wp:positionV relativeFrom="paragraph">
                  <wp:posOffset>457200</wp:posOffset>
                </wp:positionV>
                <wp:extent cx="1530985" cy="1020445"/>
                <wp:effectExtent l="0" t="0" r="0" b="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098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2355" w:rsidRDefault="00792355" w:rsidP="00334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23" w:rsidRDefault="007B3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B28"/>
    <w:multiLevelType w:val="hybridMultilevel"/>
    <w:tmpl w:val="1E4C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E6857"/>
    <w:multiLevelType w:val="hybridMultilevel"/>
    <w:tmpl w:val="59243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2169D"/>
    <w:multiLevelType w:val="hybridMultilevel"/>
    <w:tmpl w:val="6F3E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8705D"/>
    <w:multiLevelType w:val="hybridMultilevel"/>
    <w:tmpl w:val="CACA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736D2"/>
    <w:multiLevelType w:val="hybridMultilevel"/>
    <w:tmpl w:val="96549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343EE2"/>
    <w:multiLevelType w:val="hybridMultilevel"/>
    <w:tmpl w:val="5D94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90462"/>
    <w:multiLevelType w:val="hybridMultilevel"/>
    <w:tmpl w:val="A9EC39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7EAF"/>
    <w:multiLevelType w:val="hybridMultilevel"/>
    <w:tmpl w:val="86F8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929D3"/>
    <w:multiLevelType w:val="hybridMultilevel"/>
    <w:tmpl w:val="684C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D57BA"/>
    <w:multiLevelType w:val="hybridMultilevel"/>
    <w:tmpl w:val="BE88DB8A"/>
    <w:lvl w:ilvl="0" w:tplc="8444C34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FD7B79"/>
    <w:multiLevelType w:val="hybridMultilevel"/>
    <w:tmpl w:val="04B4D9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8C6BF0"/>
    <w:multiLevelType w:val="hybridMultilevel"/>
    <w:tmpl w:val="4B98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A8353A"/>
    <w:multiLevelType w:val="hybridMultilevel"/>
    <w:tmpl w:val="72B8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75D45"/>
    <w:multiLevelType w:val="hybridMultilevel"/>
    <w:tmpl w:val="FA68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864AB0"/>
    <w:multiLevelType w:val="hybridMultilevel"/>
    <w:tmpl w:val="02C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945276"/>
    <w:multiLevelType w:val="hybridMultilevel"/>
    <w:tmpl w:val="6BE4839C"/>
    <w:lvl w:ilvl="0" w:tplc="2B40C5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9C726C"/>
    <w:multiLevelType w:val="hybridMultilevel"/>
    <w:tmpl w:val="3B6895E0"/>
    <w:lvl w:ilvl="0" w:tplc="A1F821F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E60F79"/>
    <w:multiLevelType w:val="hybridMultilevel"/>
    <w:tmpl w:val="89C8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A11D43"/>
    <w:multiLevelType w:val="hybridMultilevel"/>
    <w:tmpl w:val="6FCC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521D7C"/>
    <w:multiLevelType w:val="hybridMultilevel"/>
    <w:tmpl w:val="9270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5967FA"/>
    <w:multiLevelType w:val="hybridMultilevel"/>
    <w:tmpl w:val="7EBE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500F10"/>
    <w:multiLevelType w:val="hybridMultilevel"/>
    <w:tmpl w:val="C888907E"/>
    <w:lvl w:ilvl="0" w:tplc="AB5C78D6">
      <w:start w:val="1"/>
      <w:numFmt w:val="upperRoman"/>
      <w:pStyle w:val="Heading1"/>
      <w:lvlText w:val="%1."/>
      <w:lvlJc w:val="left"/>
      <w:pPr>
        <w:ind w:left="1080" w:hanging="72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07452"/>
    <w:multiLevelType w:val="hybridMultilevel"/>
    <w:tmpl w:val="861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D96FC9"/>
    <w:multiLevelType w:val="hybridMultilevel"/>
    <w:tmpl w:val="A43C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6519B"/>
    <w:multiLevelType w:val="hybridMultilevel"/>
    <w:tmpl w:val="C5585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92520E"/>
    <w:multiLevelType w:val="hybridMultilevel"/>
    <w:tmpl w:val="50B8209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74566C6"/>
    <w:multiLevelType w:val="hybridMultilevel"/>
    <w:tmpl w:val="D8D61A86"/>
    <w:lvl w:ilvl="0" w:tplc="DCEABBE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56B4C"/>
    <w:multiLevelType w:val="hybridMultilevel"/>
    <w:tmpl w:val="FE047688"/>
    <w:lvl w:ilvl="0" w:tplc="DFFA1DA0">
      <w:start w:val="1"/>
      <w:numFmt w:val="bullet"/>
      <w:lvlText w:val="-"/>
      <w:lvlJc w:val="left"/>
      <w:pPr>
        <w:ind w:left="720" w:hanging="360"/>
      </w:pPr>
      <w:rPr>
        <w:rFonts w:ascii="Cambria" w:eastAsia="Times New Roman" w:hAnsi="Cambria" w:cs="PalatinoLinotyp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D637C"/>
    <w:multiLevelType w:val="hybridMultilevel"/>
    <w:tmpl w:val="B3FC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0E093D"/>
    <w:multiLevelType w:val="hybridMultilevel"/>
    <w:tmpl w:val="2A52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355A1"/>
    <w:multiLevelType w:val="hybridMultilevel"/>
    <w:tmpl w:val="B86459E8"/>
    <w:lvl w:ilvl="0" w:tplc="2B40C5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9534BF"/>
    <w:multiLevelType w:val="hybridMultilevel"/>
    <w:tmpl w:val="9AB6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6661E5"/>
    <w:multiLevelType w:val="hybridMultilevel"/>
    <w:tmpl w:val="BF082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E95C20"/>
    <w:multiLevelType w:val="hybridMultilevel"/>
    <w:tmpl w:val="CBC03C16"/>
    <w:lvl w:ilvl="0" w:tplc="C876EC7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4500D"/>
    <w:multiLevelType w:val="hybridMultilevel"/>
    <w:tmpl w:val="8884B3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BF5C76"/>
    <w:multiLevelType w:val="hybridMultilevel"/>
    <w:tmpl w:val="BE9A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092829"/>
    <w:multiLevelType w:val="hybridMultilevel"/>
    <w:tmpl w:val="DEB4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E93237"/>
    <w:multiLevelType w:val="hybridMultilevel"/>
    <w:tmpl w:val="33DA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56696"/>
    <w:multiLevelType w:val="hybridMultilevel"/>
    <w:tmpl w:val="CF62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3D6236"/>
    <w:multiLevelType w:val="hybridMultilevel"/>
    <w:tmpl w:val="1334045E"/>
    <w:lvl w:ilvl="0" w:tplc="2B40C5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9F2B62"/>
    <w:multiLevelType w:val="hybridMultilevel"/>
    <w:tmpl w:val="2C42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F1BE0"/>
    <w:multiLevelType w:val="hybridMultilevel"/>
    <w:tmpl w:val="1358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E780C"/>
    <w:multiLevelType w:val="hybridMultilevel"/>
    <w:tmpl w:val="5A4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787713"/>
    <w:multiLevelType w:val="hybridMultilevel"/>
    <w:tmpl w:val="5EF0A7A0"/>
    <w:lvl w:ilvl="0" w:tplc="115E9F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12"/>
  </w:num>
  <w:num w:numId="4">
    <w:abstractNumId w:val="21"/>
  </w:num>
  <w:num w:numId="5">
    <w:abstractNumId w:val="10"/>
  </w:num>
  <w:num w:numId="6">
    <w:abstractNumId w:val="27"/>
  </w:num>
  <w:num w:numId="7">
    <w:abstractNumId w:val="37"/>
  </w:num>
  <w:num w:numId="8">
    <w:abstractNumId w:val="6"/>
  </w:num>
  <w:num w:numId="9">
    <w:abstractNumId w:val="34"/>
  </w:num>
  <w:num w:numId="10">
    <w:abstractNumId w:val="1"/>
  </w:num>
  <w:num w:numId="11">
    <w:abstractNumId w:val="30"/>
  </w:num>
  <w:num w:numId="12">
    <w:abstractNumId w:val="39"/>
  </w:num>
  <w:num w:numId="13">
    <w:abstractNumId w:val="41"/>
  </w:num>
  <w:num w:numId="14">
    <w:abstractNumId w:val="23"/>
  </w:num>
  <w:num w:numId="15">
    <w:abstractNumId w:val="18"/>
  </w:num>
  <w:num w:numId="16">
    <w:abstractNumId w:val="5"/>
  </w:num>
  <w:num w:numId="17">
    <w:abstractNumId w:val="2"/>
  </w:num>
  <w:num w:numId="18">
    <w:abstractNumId w:val="42"/>
  </w:num>
  <w:num w:numId="19">
    <w:abstractNumId w:val="20"/>
  </w:num>
  <w:num w:numId="20">
    <w:abstractNumId w:val="11"/>
  </w:num>
  <w:num w:numId="21">
    <w:abstractNumId w:val="0"/>
  </w:num>
  <w:num w:numId="22">
    <w:abstractNumId w:val="33"/>
  </w:num>
  <w:num w:numId="23">
    <w:abstractNumId w:val="9"/>
  </w:num>
  <w:num w:numId="24">
    <w:abstractNumId w:val="22"/>
  </w:num>
  <w:num w:numId="25">
    <w:abstractNumId w:val="7"/>
  </w:num>
  <w:num w:numId="26">
    <w:abstractNumId w:val="32"/>
  </w:num>
  <w:num w:numId="27">
    <w:abstractNumId w:val="17"/>
  </w:num>
  <w:num w:numId="28">
    <w:abstractNumId w:val="24"/>
  </w:num>
  <w:num w:numId="29">
    <w:abstractNumId w:val="16"/>
  </w:num>
  <w:num w:numId="30">
    <w:abstractNumId w:val="14"/>
  </w:num>
  <w:num w:numId="31">
    <w:abstractNumId w:val="36"/>
  </w:num>
  <w:num w:numId="32">
    <w:abstractNumId w:val="38"/>
  </w:num>
  <w:num w:numId="33">
    <w:abstractNumId w:val="4"/>
  </w:num>
  <w:num w:numId="34">
    <w:abstractNumId w:val="19"/>
  </w:num>
  <w:num w:numId="35">
    <w:abstractNumId w:val="28"/>
  </w:num>
  <w:num w:numId="36">
    <w:abstractNumId w:val="29"/>
  </w:num>
  <w:num w:numId="37">
    <w:abstractNumId w:val="40"/>
  </w:num>
  <w:num w:numId="38">
    <w:abstractNumId w:val="15"/>
  </w:num>
  <w:num w:numId="39">
    <w:abstractNumId w:val="35"/>
  </w:num>
  <w:num w:numId="40">
    <w:abstractNumId w:val="13"/>
  </w:num>
  <w:num w:numId="41">
    <w:abstractNumId w:val="26"/>
  </w:num>
  <w:num w:numId="42">
    <w:abstractNumId w:val="31"/>
  </w:num>
  <w:num w:numId="43">
    <w:abstractNumId w:val="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B0"/>
    <w:rsid w:val="0002592C"/>
    <w:rsid w:val="000263F0"/>
    <w:rsid w:val="00050BF8"/>
    <w:rsid w:val="00062271"/>
    <w:rsid w:val="00073EA4"/>
    <w:rsid w:val="0009442C"/>
    <w:rsid w:val="00097D65"/>
    <w:rsid w:val="000A2DC9"/>
    <w:rsid w:val="000C5008"/>
    <w:rsid w:val="000D0E47"/>
    <w:rsid w:val="000F1513"/>
    <w:rsid w:val="000F4B85"/>
    <w:rsid w:val="00116FA2"/>
    <w:rsid w:val="00117473"/>
    <w:rsid w:val="00144D42"/>
    <w:rsid w:val="001638E3"/>
    <w:rsid w:val="00170F61"/>
    <w:rsid w:val="001806A3"/>
    <w:rsid w:val="001A3A40"/>
    <w:rsid w:val="001B5445"/>
    <w:rsid w:val="001E2FAE"/>
    <w:rsid w:val="001E3D52"/>
    <w:rsid w:val="002007B3"/>
    <w:rsid w:val="00202614"/>
    <w:rsid w:val="002066F8"/>
    <w:rsid w:val="00216487"/>
    <w:rsid w:val="002200A3"/>
    <w:rsid w:val="00224849"/>
    <w:rsid w:val="00225EDF"/>
    <w:rsid w:val="0024559E"/>
    <w:rsid w:val="0024767C"/>
    <w:rsid w:val="002666D0"/>
    <w:rsid w:val="00290D06"/>
    <w:rsid w:val="002B1F34"/>
    <w:rsid w:val="002C12FB"/>
    <w:rsid w:val="002C2FAB"/>
    <w:rsid w:val="002C59DB"/>
    <w:rsid w:val="002C66E0"/>
    <w:rsid w:val="002D230A"/>
    <w:rsid w:val="002D2B79"/>
    <w:rsid w:val="002D2FAD"/>
    <w:rsid w:val="002F5CB4"/>
    <w:rsid w:val="00301685"/>
    <w:rsid w:val="00304893"/>
    <w:rsid w:val="00322D4C"/>
    <w:rsid w:val="0032695D"/>
    <w:rsid w:val="003347FB"/>
    <w:rsid w:val="00337FC9"/>
    <w:rsid w:val="00351383"/>
    <w:rsid w:val="0035467C"/>
    <w:rsid w:val="003700C1"/>
    <w:rsid w:val="00386AAD"/>
    <w:rsid w:val="003916B9"/>
    <w:rsid w:val="003B5D25"/>
    <w:rsid w:val="003D1DD0"/>
    <w:rsid w:val="003E2A31"/>
    <w:rsid w:val="003F2444"/>
    <w:rsid w:val="00405489"/>
    <w:rsid w:val="004324DC"/>
    <w:rsid w:val="00440C24"/>
    <w:rsid w:val="0045206D"/>
    <w:rsid w:val="00456D89"/>
    <w:rsid w:val="00470B24"/>
    <w:rsid w:val="004755B2"/>
    <w:rsid w:val="00476A64"/>
    <w:rsid w:val="00480D56"/>
    <w:rsid w:val="00492AF9"/>
    <w:rsid w:val="00496A1F"/>
    <w:rsid w:val="004A4241"/>
    <w:rsid w:val="004A7D79"/>
    <w:rsid w:val="004B0108"/>
    <w:rsid w:val="004B555E"/>
    <w:rsid w:val="004C247D"/>
    <w:rsid w:val="004D13EA"/>
    <w:rsid w:val="004F5415"/>
    <w:rsid w:val="00505B52"/>
    <w:rsid w:val="005303B1"/>
    <w:rsid w:val="00553487"/>
    <w:rsid w:val="00555F74"/>
    <w:rsid w:val="00576E8D"/>
    <w:rsid w:val="00581B1E"/>
    <w:rsid w:val="00597B0A"/>
    <w:rsid w:val="005A3E38"/>
    <w:rsid w:val="005C7FB7"/>
    <w:rsid w:val="005E74A6"/>
    <w:rsid w:val="0060224E"/>
    <w:rsid w:val="006176CA"/>
    <w:rsid w:val="00642D19"/>
    <w:rsid w:val="00653B2B"/>
    <w:rsid w:val="006741D1"/>
    <w:rsid w:val="006910E3"/>
    <w:rsid w:val="006911A7"/>
    <w:rsid w:val="006A3643"/>
    <w:rsid w:val="006A38ED"/>
    <w:rsid w:val="006D2F0D"/>
    <w:rsid w:val="006D4354"/>
    <w:rsid w:val="006F228D"/>
    <w:rsid w:val="007212B6"/>
    <w:rsid w:val="00733E4A"/>
    <w:rsid w:val="00735475"/>
    <w:rsid w:val="00735550"/>
    <w:rsid w:val="00744BD3"/>
    <w:rsid w:val="00746D9E"/>
    <w:rsid w:val="00753462"/>
    <w:rsid w:val="00770C65"/>
    <w:rsid w:val="007829E8"/>
    <w:rsid w:val="00785410"/>
    <w:rsid w:val="00785FDD"/>
    <w:rsid w:val="00790B52"/>
    <w:rsid w:val="00792355"/>
    <w:rsid w:val="007A2109"/>
    <w:rsid w:val="007A4878"/>
    <w:rsid w:val="007B11A5"/>
    <w:rsid w:val="007B3F23"/>
    <w:rsid w:val="007B6148"/>
    <w:rsid w:val="007C70D0"/>
    <w:rsid w:val="007D5891"/>
    <w:rsid w:val="007F0F6E"/>
    <w:rsid w:val="007F16B7"/>
    <w:rsid w:val="0082457E"/>
    <w:rsid w:val="00831DA5"/>
    <w:rsid w:val="0084335D"/>
    <w:rsid w:val="008643D0"/>
    <w:rsid w:val="0086749C"/>
    <w:rsid w:val="008678DC"/>
    <w:rsid w:val="00881D22"/>
    <w:rsid w:val="008851E1"/>
    <w:rsid w:val="00892E9E"/>
    <w:rsid w:val="008968F8"/>
    <w:rsid w:val="008A7742"/>
    <w:rsid w:val="008B6EC4"/>
    <w:rsid w:val="008C004E"/>
    <w:rsid w:val="008C05CF"/>
    <w:rsid w:val="008C25BE"/>
    <w:rsid w:val="008D3729"/>
    <w:rsid w:val="008E36A0"/>
    <w:rsid w:val="008E5A29"/>
    <w:rsid w:val="008F4964"/>
    <w:rsid w:val="008F6C22"/>
    <w:rsid w:val="009057C0"/>
    <w:rsid w:val="00914A91"/>
    <w:rsid w:val="00921B3F"/>
    <w:rsid w:val="0092380E"/>
    <w:rsid w:val="00923C57"/>
    <w:rsid w:val="009372FB"/>
    <w:rsid w:val="00937F65"/>
    <w:rsid w:val="00941631"/>
    <w:rsid w:val="009470FF"/>
    <w:rsid w:val="00982767"/>
    <w:rsid w:val="009A555A"/>
    <w:rsid w:val="009A7529"/>
    <w:rsid w:val="009B2272"/>
    <w:rsid w:val="009B61ED"/>
    <w:rsid w:val="009D5945"/>
    <w:rsid w:val="009D682D"/>
    <w:rsid w:val="009F7C88"/>
    <w:rsid w:val="00A1162C"/>
    <w:rsid w:val="00A14517"/>
    <w:rsid w:val="00A24C91"/>
    <w:rsid w:val="00A574C6"/>
    <w:rsid w:val="00A80B9D"/>
    <w:rsid w:val="00A841D3"/>
    <w:rsid w:val="00AA5701"/>
    <w:rsid w:val="00AF18FB"/>
    <w:rsid w:val="00AF3CCA"/>
    <w:rsid w:val="00AF74F4"/>
    <w:rsid w:val="00B0199A"/>
    <w:rsid w:val="00B01D72"/>
    <w:rsid w:val="00B13C30"/>
    <w:rsid w:val="00B14652"/>
    <w:rsid w:val="00B23EE4"/>
    <w:rsid w:val="00B3203A"/>
    <w:rsid w:val="00B34DFC"/>
    <w:rsid w:val="00B361E4"/>
    <w:rsid w:val="00B512FE"/>
    <w:rsid w:val="00B553B9"/>
    <w:rsid w:val="00B55D69"/>
    <w:rsid w:val="00B63778"/>
    <w:rsid w:val="00B717B8"/>
    <w:rsid w:val="00BA0282"/>
    <w:rsid w:val="00BB0851"/>
    <w:rsid w:val="00BB35F8"/>
    <w:rsid w:val="00BC10B0"/>
    <w:rsid w:val="00BD315D"/>
    <w:rsid w:val="00BE7251"/>
    <w:rsid w:val="00BF4643"/>
    <w:rsid w:val="00BF7139"/>
    <w:rsid w:val="00C03A75"/>
    <w:rsid w:val="00C15E46"/>
    <w:rsid w:val="00C20608"/>
    <w:rsid w:val="00C52288"/>
    <w:rsid w:val="00C87FD9"/>
    <w:rsid w:val="00C950D7"/>
    <w:rsid w:val="00C95855"/>
    <w:rsid w:val="00CE0861"/>
    <w:rsid w:val="00CF150C"/>
    <w:rsid w:val="00CF7DD0"/>
    <w:rsid w:val="00D05582"/>
    <w:rsid w:val="00D20802"/>
    <w:rsid w:val="00D246DB"/>
    <w:rsid w:val="00D37250"/>
    <w:rsid w:val="00D46C9E"/>
    <w:rsid w:val="00D47B14"/>
    <w:rsid w:val="00D60F0E"/>
    <w:rsid w:val="00D70893"/>
    <w:rsid w:val="00D723E1"/>
    <w:rsid w:val="00D74565"/>
    <w:rsid w:val="00D87459"/>
    <w:rsid w:val="00D92ACC"/>
    <w:rsid w:val="00D97922"/>
    <w:rsid w:val="00DB514B"/>
    <w:rsid w:val="00DC36D7"/>
    <w:rsid w:val="00DC656D"/>
    <w:rsid w:val="00DD0B7F"/>
    <w:rsid w:val="00DE2D08"/>
    <w:rsid w:val="00DE7ED4"/>
    <w:rsid w:val="00E07DE9"/>
    <w:rsid w:val="00E15B24"/>
    <w:rsid w:val="00E1660B"/>
    <w:rsid w:val="00E21301"/>
    <w:rsid w:val="00E26F08"/>
    <w:rsid w:val="00E32314"/>
    <w:rsid w:val="00E32C3E"/>
    <w:rsid w:val="00E35D18"/>
    <w:rsid w:val="00E36028"/>
    <w:rsid w:val="00E4785F"/>
    <w:rsid w:val="00E51579"/>
    <w:rsid w:val="00E564D0"/>
    <w:rsid w:val="00E565B5"/>
    <w:rsid w:val="00E5753C"/>
    <w:rsid w:val="00E60FC2"/>
    <w:rsid w:val="00E829D8"/>
    <w:rsid w:val="00EB5E2B"/>
    <w:rsid w:val="00EC2D38"/>
    <w:rsid w:val="00EC6840"/>
    <w:rsid w:val="00EE6473"/>
    <w:rsid w:val="00EE7F7C"/>
    <w:rsid w:val="00EF646B"/>
    <w:rsid w:val="00F12B5D"/>
    <w:rsid w:val="00F1359D"/>
    <w:rsid w:val="00F174B8"/>
    <w:rsid w:val="00F2001E"/>
    <w:rsid w:val="00F30EC4"/>
    <w:rsid w:val="00F54C6C"/>
    <w:rsid w:val="00F649D2"/>
    <w:rsid w:val="00F77644"/>
    <w:rsid w:val="00F841B5"/>
    <w:rsid w:val="00F90C88"/>
    <w:rsid w:val="00F9240B"/>
    <w:rsid w:val="00F954BD"/>
    <w:rsid w:val="00F954D5"/>
    <w:rsid w:val="00FA09BD"/>
    <w:rsid w:val="00FA26C0"/>
    <w:rsid w:val="00FA47E6"/>
    <w:rsid w:val="00FC5CAD"/>
    <w:rsid w:val="00FE04F4"/>
    <w:rsid w:val="00FE10E5"/>
    <w:rsid w:val="00FF0782"/>
    <w:rsid w:val="00FF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34"/>
    <w:rPr>
      <w:sz w:val="24"/>
      <w:szCs w:val="24"/>
    </w:rPr>
  </w:style>
  <w:style w:type="paragraph" w:styleId="Heading1">
    <w:name w:val="heading 1"/>
    <w:basedOn w:val="Normal"/>
    <w:next w:val="Normal"/>
    <w:link w:val="Heading1Char"/>
    <w:autoRedefine/>
    <w:uiPriority w:val="9"/>
    <w:qFormat/>
    <w:locked/>
    <w:rsid w:val="00073EA4"/>
    <w:pPr>
      <w:numPr>
        <w:numId w:val="4"/>
      </w:numPr>
      <w:pBdr>
        <w:bottom w:val="single" w:sz="12" w:space="1" w:color="365F91" w:themeColor="accent1" w:themeShade="BF"/>
      </w:pBdr>
      <w:outlineLvl w:val="0"/>
    </w:pPr>
    <w:rPr>
      <w:rFonts w:asciiTheme="majorHAnsi" w:eastAsiaTheme="majorEastAsia" w:hAnsiTheme="majorHAnsi" w:cstheme="majorBidi"/>
      <w:b/>
      <w:bCs/>
      <w:color w:val="595959" w:themeColor="text1" w:themeTint="A6"/>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BC10B0"/>
    <w:pPr>
      <w:autoSpaceDE w:val="0"/>
      <w:autoSpaceDN w:val="0"/>
    </w:pPr>
    <w:rPr>
      <w:rFonts w:ascii="Calibri" w:hAnsi="Calibri" w:cs="Calibri"/>
      <w:color w:val="000000"/>
    </w:rPr>
  </w:style>
  <w:style w:type="paragraph" w:customStyle="1" w:styleId="c7">
    <w:name w:val="c7"/>
    <w:basedOn w:val="Normal"/>
    <w:uiPriority w:val="99"/>
    <w:rsid w:val="00BC10B0"/>
    <w:pPr>
      <w:spacing w:before="168" w:after="216"/>
    </w:pPr>
  </w:style>
  <w:style w:type="character" w:customStyle="1" w:styleId="c0">
    <w:name w:val="c0"/>
    <w:basedOn w:val="DefaultParagraphFont"/>
    <w:uiPriority w:val="99"/>
    <w:rsid w:val="00BC10B0"/>
    <w:rPr>
      <w:rFonts w:cs="Times New Roman"/>
    </w:rPr>
  </w:style>
  <w:style w:type="paragraph" w:styleId="ListParagraph">
    <w:name w:val="List Paragraph"/>
    <w:basedOn w:val="Normal"/>
    <w:uiPriority w:val="34"/>
    <w:qFormat/>
    <w:rsid w:val="00144D42"/>
    <w:pPr>
      <w:ind w:left="720"/>
      <w:contextualSpacing/>
    </w:pPr>
  </w:style>
  <w:style w:type="paragraph" w:styleId="NormalWeb">
    <w:name w:val="Normal (Web)"/>
    <w:basedOn w:val="Normal"/>
    <w:uiPriority w:val="99"/>
    <w:rsid w:val="008851E1"/>
    <w:pPr>
      <w:spacing w:before="100" w:beforeAutospacing="1" w:after="100" w:afterAutospacing="1"/>
    </w:pPr>
  </w:style>
  <w:style w:type="paragraph" w:styleId="BalloonText">
    <w:name w:val="Balloon Text"/>
    <w:basedOn w:val="Normal"/>
    <w:link w:val="BalloonTextChar"/>
    <w:uiPriority w:val="99"/>
    <w:rsid w:val="000F4B85"/>
    <w:rPr>
      <w:rFonts w:ascii="Tahoma" w:hAnsi="Tahoma" w:cs="Tahoma"/>
      <w:sz w:val="16"/>
      <w:szCs w:val="16"/>
    </w:rPr>
  </w:style>
  <w:style w:type="character" w:customStyle="1" w:styleId="BalloonTextChar">
    <w:name w:val="Balloon Text Char"/>
    <w:basedOn w:val="DefaultParagraphFont"/>
    <w:link w:val="BalloonText"/>
    <w:uiPriority w:val="99"/>
    <w:locked/>
    <w:rsid w:val="000F4B85"/>
    <w:rPr>
      <w:rFonts w:ascii="Tahoma" w:hAnsi="Tahoma" w:cs="Tahoma"/>
      <w:sz w:val="16"/>
      <w:szCs w:val="16"/>
    </w:rPr>
  </w:style>
  <w:style w:type="paragraph" w:styleId="FootnoteText">
    <w:name w:val="footnote text"/>
    <w:basedOn w:val="Normal"/>
    <w:link w:val="FootnoteTextChar"/>
    <w:uiPriority w:val="99"/>
    <w:rsid w:val="00FF0782"/>
    <w:rPr>
      <w:sz w:val="20"/>
      <w:szCs w:val="20"/>
    </w:rPr>
  </w:style>
  <w:style w:type="character" w:customStyle="1" w:styleId="FootnoteTextChar">
    <w:name w:val="Footnote Text Char"/>
    <w:basedOn w:val="DefaultParagraphFont"/>
    <w:link w:val="FootnoteText"/>
    <w:uiPriority w:val="99"/>
    <w:locked/>
    <w:rsid w:val="00FF0782"/>
    <w:rPr>
      <w:rFonts w:cs="Times New Roman"/>
    </w:rPr>
  </w:style>
  <w:style w:type="character" w:styleId="FootnoteReference">
    <w:name w:val="footnote reference"/>
    <w:basedOn w:val="DefaultParagraphFont"/>
    <w:uiPriority w:val="99"/>
    <w:rsid w:val="00FF0782"/>
    <w:rPr>
      <w:rFonts w:cs="Times New Roman"/>
      <w:vertAlign w:val="superscript"/>
    </w:rPr>
  </w:style>
  <w:style w:type="character" w:styleId="Hyperlink">
    <w:name w:val="Hyperlink"/>
    <w:basedOn w:val="DefaultParagraphFont"/>
    <w:uiPriority w:val="99"/>
    <w:rsid w:val="008C25BE"/>
    <w:rPr>
      <w:rFonts w:cs="Times New Roman"/>
      <w:color w:val="0000FF"/>
      <w:u w:val="single"/>
    </w:rPr>
  </w:style>
  <w:style w:type="character" w:styleId="CommentReference">
    <w:name w:val="annotation reference"/>
    <w:basedOn w:val="DefaultParagraphFont"/>
    <w:uiPriority w:val="99"/>
    <w:rsid w:val="00E07DE9"/>
    <w:rPr>
      <w:rFonts w:cs="Times New Roman"/>
      <w:sz w:val="16"/>
      <w:szCs w:val="16"/>
    </w:rPr>
  </w:style>
  <w:style w:type="paragraph" w:styleId="CommentText">
    <w:name w:val="annotation text"/>
    <w:basedOn w:val="Normal"/>
    <w:link w:val="CommentTextChar"/>
    <w:uiPriority w:val="99"/>
    <w:rsid w:val="00E07DE9"/>
    <w:rPr>
      <w:sz w:val="20"/>
      <w:szCs w:val="20"/>
    </w:rPr>
  </w:style>
  <w:style w:type="character" w:customStyle="1" w:styleId="CommentTextChar">
    <w:name w:val="Comment Text Char"/>
    <w:basedOn w:val="DefaultParagraphFont"/>
    <w:link w:val="CommentText"/>
    <w:uiPriority w:val="99"/>
    <w:locked/>
    <w:rsid w:val="00E07DE9"/>
    <w:rPr>
      <w:rFonts w:cs="Times New Roman"/>
    </w:rPr>
  </w:style>
  <w:style w:type="paragraph" w:styleId="CommentSubject">
    <w:name w:val="annotation subject"/>
    <w:basedOn w:val="CommentText"/>
    <w:next w:val="CommentText"/>
    <w:link w:val="CommentSubjectChar"/>
    <w:uiPriority w:val="99"/>
    <w:rsid w:val="00E07DE9"/>
    <w:rPr>
      <w:b/>
      <w:bCs/>
    </w:rPr>
  </w:style>
  <w:style w:type="character" w:customStyle="1" w:styleId="CommentSubjectChar">
    <w:name w:val="Comment Subject Char"/>
    <w:basedOn w:val="CommentTextChar"/>
    <w:link w:val="CommentSubject"/>
    <w:uiPriority w:val="99"/>
    <w:locked/>
    <w:rsid w:val="00E07DE9"/>
    <w:rPr>
      <w:rFonts w:cs="Times New Roman"/>
      <w:b/>
      <w:bCs/>
    </w:rPr>
  </w:style>
  <w:style w:type="paragraph" w:styleId="Header">
    <w:name w:val="header"/>
    <w:basedOn w:val="Normal"/>
    <w:link w:val="HeaderChar"/>
    <w:uiPriority w:val="99"/>
    <w:rsid w:val="000263F0"/>
    <w:pPr>
      <w:tabs>
        <w:tab w:val="center" w:pos="4680"/>
        <w:tab w:val="right" w:pos="9360"/>
      </w:tabs>
    </w:pPr>
  </w:style>
  <w:style w:type="character" w:customStyle="1" w:styleId="HeaderChar">
    <w:name w:val="Header Char"/>
    <w:basedOn w:val="DefaultParagraphFont"/>
    <w:link w:val="Header"/>
    <w:uiPriority w:val="99"/>
    <w:locked/>
    <w:rsid w:val="000263F0"/>
    <w:rPr>
      <w:rFonts w:cs="Times New Roman"/>
      <w:sz w:val="24"/>
      <w:szCs w:val="24"/>
    </w:rPr>
  </w:style>
  <w:style w:type="paragraph" w:styleId="Footer">
    <w:name w:val="footer"/>
    <w:basedOn w:val="Normal"/>
    <w:link w:val="FooterChar"/>
    <w:uiPriority w:val="99"/>
    <w:rsid w:val="000263F0"/>
    <w:pPr>
      <w:tabs>
        <w:tab w:val="center" w:pos="4680"/>
        <w:tab w:val="right" w:pos="9360"/>
      </w:tabs>
    </w:pPr>
  </w:style>
  <w:style w:type="character" w:customStyle="1" w:styleId="FooterChar">
    <w:name w:val="Footer Char"/>
    <w:basedOn w:val="DefaultParagraphFont"/>
    <w:link w:val="Footer"/>
    <w:uiPriority w:val="99"/>
    <w:locked/>
    <w:rsid w:val="000263F0"/>
    <w:rPr>
      <w:rFonts w:cs="Times New Roman"/>
      <w:sz w:val="24"/>
      <w:szCs w:val="24"/>
    </w:rPr>
  </w:style>
  <w:style w:type="character" w:customStyle="1" w:styleId="Heading1Char">
    <w:name w:val="Heading 1 Char"/>
    <w:basedOn w:val="DefaultParagraphFont"/>
    <w:link w:val="Heading1"/>
    <w:uiPriority w:val="9"/>
    <w:rsid w:val="00073EA4"/>
    <w:rPr>
      <w:rFonts w:asciiTheme="majorHAnsi" w:eastAsiaTheme="majorEastAsia" w:hAnsiTheme="majorHAnsi" w:cstheme="majorBidi"/>
      <w:b/>
      <w:bCs/>
      <w:color w:val="595959" w:themeColor="text1" w:themeTint="A6"/>
      <w:sz w:val="28"/>
      <w:szCs w:val="28"/>
      <w:lang w:bidi="en-US"/>
    </w:rPr>
  </w:style>
  <w:style w:type="table" w:styleId="TableGrid">
    <w:name w:val="Table Grid"/>
    <w:basedOn w:val="TableNormal"/>
    <w:uiPriority w:val="59"/>
    <w:rsid w:val="00AF3CC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34"/>
    <w:rPr>
      <w:sz w:val="24"/>
      <w:szCs w:val="24"/>
    </w:rPr>
  </w:style>
  <w:style w:type="paragraph" w:styleId="Heading1">
    <w:name w:val="heading 1"/>
    <w:basedOn w:val="Normal"/>
    <w:next w:val="Normal"/>
    <w:link w:val="Heading1Char"/>
    <w:autoRedefine/>
    <w:uiPriority w:val="9"/>
    <w:qFormat/>
    <w:locked/>
    <w:rsid w:val="00073EA4"/>
    <w:pPr>
      <w:numPr>
        <w:numId w:val="4"/>
      </w:numPr>
      <w:pBdr>
        <w:bottom w:val="single" w:sz="12" w:space="1" w:color="365F91" w:themeColor="accent1" w:themeShade="BF"/>
      </w:pBdr>
      <w:outlineLvl w:val="0"/>
    </w:pPr>
    <w:rPr>
      <w:rFonts w:asciiTheme="majorHAnsi" w:eastAsiaTheme="majorEastAsia" w:hAnsiTheme="majorHAnsi" w:cstheme="majorBidi"/>
      <w:b/>
      <w:bCs/>
      <w:color w:val="595959" w:themeColor="text1" w:themeTint="A6"/>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BC10B0"/>
    <w:pPr>
      <w:autoSpaceDE w:val="0"/>
      <w:autoSpaceDN w:val="0"/>
    </w:pPr>
    <w:rPr>
      <w:rFonts w:ascii="Calibri" w:hAnsi="Calibri" w:cs="Calibri"/>
      <w:color w:val="000000"/>
    </w:rPr>
  </w:style>
  <w:style w:type="paragraph" w:customStyle="1" w:styleId="c7">
    <w:name w:val="c7"/>
    <w:basedOn w:val="Normal"/>
    <w:uiPriority w:val="99"/>
    <w:rsid w:val="00BC10B0"/>
    <w:pPr>
      <w:spacing w:before="168" w:after="216"/>
    </w:pPr>
  </w:style>
  <w:style w:type="character" w:customStyle="1" w:styleId="c0">
    <w:name w:val="c0"/>
    <w:basedOn w:val="DefaultParagraphFont"/>
    <w:uiPriority w:val="99"/>
    <w:rsid w:val="00BC10B0"/>
    <w:rPr>
      <w:rFonts w:cs="Times New Roman"/>
    </w:rPr>
  </w:style>
  <w:style w:type="paragraph" w:styleId="ListParagraph">
    <w:name w:val="List Paragraph"/>
    <w:basedOn w:val="Normal"/>
    <w:uiPriority w:val="34"/>
    <w:qFormat/>
    <w:rsid w:val="00144D42"/>
    <w:pPr>
      <w:ind w:left="720"/>
      <w:contextualSpacing/>
    </w:pPr>
  </w:style>
  <w:style w:type="paragraph" w:styleId="NormalWeb">
    <w:name w:val="Normal (Web)"/>
    <w:basedOn w:val="Normal"/>
    <w:uiPriority w:val="99"/>
    <w:rsid w:val="008851E1"/>
    <w:pPr>
      <w:spacing w:before="100" w:beforeAutospacing="1" w:after="100" w:afterAutospacing="1"/>
    </w:pPr>
  </w:style>
  <w:style w:type="paragraph" w:styleId="BalloonText">
    <w:name w:val="Balloon Text"/>
    <w:basedOn w:val="Normal"/>
    <w:link w:val="BalloonTextChar"/>
    <w:uiPriority w:val="99"/>
    <w:rsid w:val="000F4B85"/>
    <w:rPr>
      <w:rFonts w:ascii="Tahoma" w:hAnsi="Tahoma" w:cs="Tahoma"/>
      <w:sz w:val="16"/>
      <w:szCs w:val="16"/>
    </w:rPr>
  </w:style>
  <w:style w:type="character" w:customStyle="1" w:styleId="BalloonTextChar">
    <w:name w:val="Balloon Text Char"/>
    <w:basedOn w:val="DefaultParagraphFont"/>
    <w:link w:val="BalloonText"/>
    <w:uiPriority w:val="99"/>
    <w:locked/>
    <w:rsid w:val="000F4B85"/>
    <w:rPr>
      <w:rFonts w:ascii="Tahoma" w:hAnsi="Tahoma" w:cs="Tahoma"/>
      <w:sz w:val="16"/>
      <w:szCs w:val="16"/>
    </w:rPr>
  </w:style>
  <w:style w:type="paragraph" w:styleId="FootnoteText">
    <w:name w:val="footnote text"/>
    <w:basedOn w:val="Normal"/>
    <w:link w:val="FootnoteTextChar"/>
    <w:uiPriority w:val="99"/>
    <w:rsid w:val="00FF0782"/>
    <w:rPr>
      <w:sz w:val="20"/>
      <w:szCs w:val="20"/>
    </w:rPr>
  </w:style>
  <w:style w:type="character" w:customStyle="1" w:styleId="FootnoteTextChar">
    <w:name w:val="Footnote Text Char"/>
    <w:basedOn w:val="DefaultParagraphFont"/>
    <w:link w:val="FootnoteText"/>
    <w:uiPriority w:val="99"/>
    <w:locked/>
    <w:rsid w:val="00FF0782"/>
    <w:rPr>
      <w:rFonts w:cs="Times New Roman"/>
    </w:rPr>
  </w:style>
  <w:style w:type="character" w:styleId="FootnoteReference">
    <w:name w:val="footnote reference"/>
    <w:basedOn w:val="DefaultParagraphFont"/>
    <w:uiPriority w:val="99"/>
    <w:rsid w:val="00FF0782"/>
    <w:rPr>
      <w:rFonts w:cs="Times New Roman"/>
      <w:vertAlign w:val="superscript"/>
    </w:rPr>
  </w:style>
  <w:style w:type="character" w:styleId="Hyperlink">
    <w:name w:val="Hyperlink"/>
    <w:basedOn w:val="DefaultParagraphFont"/>
    <w:uiPriority w:val="99"/>
    <w:rsid w:val="008C25BE"/>
    <w:rPr>
      <w:rFonts w:cs="Times New Roman"/>
      <w:color w:val="0000FF"/>
      <w:u w:val="single"/>
    </w:rPr>
  </w:style>
  <w:style w:type="character" w:styleId="CommentReference">
    <w:name w:val="annotation reference"/>
    <w:basedOn w:val="DefaultParagraphFont"/>
    <w:uiPriority w:val="99"/>
    <w:rsid w:val="00E07DE9"/>
    <w:rPr>
      <w:rFonts w:cs="Times New Roman"/>
      <w:sz w:val="16"/>
      <w:szCs w:val="16"/>
    </w:rPr>
  </w:style>
  <w:style w:type="paragraph" w:styleId="CommentText">
    <w:name w:val="annotation text"/>
    <w:basedOn w:val="Normal"/>
    <w:link w:val="CommentTextChar"/>
    <w:uiPriority w:val="99"/>
    <w:rsid w:val="00E07DE9"/>
    <w:rPr>
      <w:sz w:val="20"/>
      <w:szCs w:val="20"/>
    </w:rPr>
  </w:style>
  <w:style w:type="character" w:customStyle="1" w:styleId="CommentTextChar">
    <w:name w:val="Comment Text Char"/>
    <w:basedOn w:val="DefaultParagraphFont"/>
    <w:link w:val="CommentText"/>
    <w:uiPriority w:val="99"/>
    <w:locked/>
    <w:rsid w:val="00E07DE9"/>
    <w:rPr>
      <w:rFonts w:cs="Times New Roman"/>
    </w:rPr>
  </w:style>
  <w:style w:type="paragraph" w:styleId="CommentSubject">
    <w:name w:val="annotation subject"/>
    <w:basedOn w:val="CommentText"/>
    <w:next w:val="CommentText"/>
    <w:link w:val="CommentSubjectChar"/>
    <w:uiPriority w:val="99"/>
    <w:rsid w:val="00E07DE9"/>
    <w:rPr>
      <w:b/>
      <w:bCs/>
    </w:rPr>
  </w:style>
  <w:style w:type="character" w:customStyle="1" w:styleId="CommentSubjectChar">
    <w:name w:val="Comment Subject Char"/>
    <w:basedOn w:val="CommentTextChar"/>
    <w:link w:val="CommentSubject"/>
    <w:uiPriority w:val="99"/>
    <w:locked/>
    <w:rsid w:val="00E07DE9"/>
    <w:rPr>
      <w:rFonts w:cs="Times New Roman"/>
      <w:b/>
      <w:bCs/>
    </w:rPr>
  </w:style>
  <w:style w:type="paragraph" w:styleId="Header">
    <w:name w:val="header"/>
    <w:basedOn w:val="Normal"/>
    <w:link w:val="HeaderChar"/>
    <w:uiPriority w:val="99"/>
    <w:rsid w:val="000263F0"/>
    <w:pPr>
      <w:tabs>
        <w:tab w:val="center" w:pos="4680"/>
        <w:tab w:val="right" w:pos="9360"/>
      </w:tabs>
    </w:pPr>
  </w:style>
  <w:style w:type="character" w:customStyle="1" w:styleId="HeaderChar">
    <w:name w:val="Header Char"/>
    <w:basedOn w:val="DefaultParagraphFont"/>
    <w:link w:val="Header"/>
    <w:uiPriority w:val="99"/>
    <w:locked/>
    <w:rsid w:val="000263F0"/>
    <w:rPr>
      <w:rFonts w:cs="Times New Roman"/>
      <w:sz w:val="24"/>
      <w:szCs w:val="24"/>
    </w:rPr>
  </w:style>
  <w:style w:type="paragraph" w:styleId="Footer">
    <w:name w:val="footer"/>
    <w:basedOn w:val="Normal"/>
    <w:link w:val="FooterChar"/>
    <w:uiPriority w:val="99"/>
    <w:rsid w:val="000263F0"/>
    <w:pPr>
      <w:tabs>
        <w:tab w:val="center" w:pos="4680"/>
        <w:tab w:val="right" w:pos="9360"/>
      </w:tabs>
    </w:pPr>
  </w:style>
  <w:style w:type="character" w:customStyle="1" w:styleId="FooterChar">
    <w:name w:val="Footer Char"/>
    <w:basedOn w:val="DefaultParagraphFont"/>
    <w:link w:val="Footer"/>
    <w:uiPriority w:val="99"/>
    <w:locked/>
    <w:rsid w:val="000263F0"/>
    <w:rPr>
      <w:rFonts w:cs="Times New Roman"/>
      <w:sz w:val="24"/>
      <w:szCs w:val="24"/>
    </w:rPr>
  </w:style>
  <w:style w:type="character" w:customStyle="1" w:styleId="Heading1Char">
    <w:name w:val="Heading 1 Char"/>
    <w:basedOn w:val="DefaultParagraphFont"/>
    <w:link w:val="Heading1"/>
    <w:uiPriority w:val="9"/>
    <w:rsid w:val="00073EA4"/>
    <w:rPr>
      <w:rFonts w:asciiTheme="majorHAnsi" w:eastAsiaTheme="majorEastAsia" w:hAnsiTheme="majorHAnsi" w:cstheme="majorBidi"/>
      <w:b/>
      <w:bCs/>
      <w:color w:val="595959" w:themeColor="text1" w:themeTint="A6"/>
      <w:sz w:val="28"/>
      <w:szCs w:val="28"/>
      <w:lang w:bidi="en-US"/>
    </w:rPr>
  </w:style>
  <w:style w:type="table" w:styleId="TableGrid">
    <w:name w:val="Table Grid"/>
    <w:basedOn w:val="TableNormal"/>
    <w:uiPriority w:val="59"/>
    <w:rsid w:val="00AF3CC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03842">
      <w:marLeft w:val="0"/>
      <w:marRight w:val="0"/>
      <w:marTop w:val="0"/>
      <w:marBottom w:val="0"/>
      <w:divBdr>
        <w:top w:val="none" w:sz="0" w:space="0" w:color="auto"/>
        <w:left w:val="none" w:sz="0" w:space="0" w:color="auto"/>
        <w:bottom w:val="none" w:sz="0" w:space="0" w:color="auto"/>
        <w:right w:val="none" w:sz="0" w:space="0" w:color="auto"/>
      </w:divBdr>
    </w:div>
    <w:div w:id="524103843">
      <w:marLeft w:val="0"/>
      <w:marRight w:val="0"/>
      <w:marTop w:val="0"/>
      <w:marBottom w:val="0"/>
      <w:divBdr>
        <w:top w:val="none" w:sz="0" w:space="0" w:color="auto"/>
        <w:left w:val="none" w:sz="0" w:space="0" w:color="auto"/>
        <w:bottom w:val="none" w:sz="0" w:space="0" w:color="auto"/>
        <w:right w:val="none" w:sz="0" w:space="0" w:color="auto"/>
      </w:divBdr>
    </w:div>
    <w:div w:id="524103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3AB4-FFF2-4BB2-BCE3-7DE75331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5705</Words>
  <Characters>32521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Community Scale Energy Systems </vt:lpstr>
    </vt:vector>
  </TitlesOfParts>
  <Company>CCSF-PUC</Company>
  <LinksUpToDate>false</LinksUpToDate>
  <CharactersWithSpaces>38150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Scale Energy Systems </dc:title>
  <dc:subject/>
  <dc:creator>Dalal, Shaibya</dc:creator>
  <cp:keywords/>
  <dc:description/>
  <cp:lastModifiedBy>Malcolm, Kim</cp:lastModifiedBy>
  <cp:revision>3</cp:revision>
  <cp:lastPrinted>2012-03-01T18:39:00Z</cp:lastPrinted>
  <dcterms:created xsi:type="dcterms:W3CDTF">2013-05-28T20:59:00Z</dcterms:created>
  <dcterms:modified xsi:type="dcterms:W3CDTF">2013-06-03T19:36:00Z</dcterms:modified>
</cp:coreProperties>
</file>