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062"/>
        <w:gridCol w:w="4288"/>
      </w:tblGrid>
      <w:tr w:rsidR="00E63BEB" w:rsidRPr="00525A85" w:rsidTr="008F366C">
        <w:tc>
          <w:tcPr>
            <w:tcW w:w="5062" w:type="dxa"/>
          </w:tcPr>
          <w:p w:rsidR="00E63BEB" w:rsidRPr="006C70B9" w:rsidRDefault="0084086A" w:rsidP="008F366C">
            <w:pPr>
              <w:pStyle w:val="Header"/>
              <w:rPr>
                <w:rFonts w:ascii="Century Gothic" w:hAnsi="Century Gothic"/>
                <w:b/>
                <w:sz w:val="20"/>
                <w:szCs w:val="20"/>
              </w:rPr>
            </w:pPr>
            <w:r w:rsidRPr="006C70B9">
              <w:rPr>
                <w:rFonts w:ascii="Century Gothic" w:hAnsi="Century Gothic"/>
                <w:b/>
                <w:sz w:val="20"/>
                <w:szCs w:val="20"/>
              </w:rPr>
              <w:t>Date Submitted</w:t>
            </w:r>
          </w:p>
        </w:tc>
        <w:tc>
          <w:tcPr>
            <w:tcW w:w="4288" w:type="dxa"/>
          </w:tcPr>
          <w:p w:rsidR="00E63BEB" w:rsidRPr="00525A85" w:rsidRDefault="007E6E0B" w:rsidP="008F366C">
            <w:pPr>
              <w:pStyle w:val="Header"/>
              <w:rPr>
                <w:rFonts w:ascii="Century Gothic" w:hAnsi="Century Gothic"/>
                <w:sz w:val="20"/>
                <w:szCs w:val="20"/>
              </w:rPr>
            </w:pPr>
            <w:r>
              <w:rPr>
                <w:rFonts w:ascii="Century Gothic" w:hAnsi="Century Gothic"/>
                <w:sz w:val="20"/>
                <w:szCs w:val="20"/>
              </w:rPr>
              <w:t>6/1/2018</w:t>
            </w:r>
          </w:p>
        </w:tc>
      </w:tr>
      <w:tr w:rsidR="00E63BEB" w:rsidRPr="00525A85" w:rsidTr="008F366C">
        <w:tc>
          <w:tcPr>
            <w:tcW w:w="5062" w:type="dxa"/>
          </w:tcPr>
          <w:p w:rsidR="00E63BEB" w:rsidRPr="006C70B9" w:rsidRDefault="001F5EFA" w:rsidP="008F366C">
            <w:pPr>
              <w:pStyle w:val="Header"/>
              <w:rPr>
                <w:rFonts w:ascii="Century Gothic" w:hAnsi="Century Gothic"/>
                <w:b/>
                <w:sz w:val="20"/>
                <w:szCs w:val="20"/>
              </w:rPr>
            </w:pPr>
            <w:r w:rsidRPr="006C70B9">
              <w:rPr>
                <w:rFonts w:ascii="Century Gothic" w:hAnsi="Century Gothic"/>
                <w:b/>
                <w:sz w:val="20"/>
                <w:szCs w:val="20"/>
              </w:rPr>
              <w:t>Submitting Department</w:t>
            </w:r>
          </w:p>
        </w:tc>
        <w:tc>
          <w:tcPr>
            <w:tcW w:w="4288" w:type="dxa"/>
          </w:tcPr>
          <w:p w:rsidR="00E63BEB" w:rsidRPr="00525A85" w:rsidRDefault="00E00484" w:rsidP="00866096">
            <w:pPr>
              <w:pStyle w:val="Header"/>
              <w:rPr>
                <w:rFonts w:ascii="Century Gothic" w:hAnsi="Century Gothic"/>
                <w:sz w:val="20"/>
                <w:szCs w:val="20"/>
              </w:rPr>
            </w:pPr>
            <w:r>
              <w:rPr>
                <w:rFonts w:ascii="Century Gothic" w:hAnsi="Century Gothic"/>
                <w:sz w:val="20"/>
                <w:szCs w:val="20"/>
              </w:rPr>
              <w:t>Mayor’s Office of Leg Affairs</w:t>
            </w:r>
          </w:p>
        </w:tc>
      </w:tr>
      <w:tr w:rsidR="00E63BEB" w:rsidRPr="00525A85" w:rsidTr="008F366C">
        <w:tc>
          <w:tcPr>
            <w:tcW w:w="5062" w:type="dxa"/>
          </w:tcPr>
          <w:p w:rsidR="00E63BEB" w:rsidRPr="006C70B9" w:rsidRDefault="00E63BEB" w:rsidP="00780FD7">
            <w:pPr>
              <w:pStyle w:val="Header"/>
              <w:rPr>
                <w:rFonts w:ascii="Century Gothic" w:hAnsi="Century Gothic"/>
                <w:b/>
                <w:sz w:val="20"/>
                <w:szCs w:val="20"/>
              </w:rPr>
            </w:pPr>
            <w:r w:rsidRPr="006C70B9">
              <w:rPr>
                <w:rFonts w:ascii="Century Gothic" w:hAnsi="Century Gothic"/>
                <w:b/>
                <w:sz w:val="20"/>
                <w:szCs w:val="20"/>
              </w:rPr>
              <w:t>Contact Name</w:t>
            </w:r>
          </w:p>
        </w:tc>
        <w:tc>
          <w:tcPr>
            <w:tcW w:w="4288" w:type="dxa"/>
          </w:tcPr>
          <w:p w:rsidR="00E63BEB" w:rsidRPr="00525A85" w:rsidRDefault="007E6E0B" w:rsidP="007E6E0B">
            <w:pPr>
              <w:pStyle w:val="Header"/>
              <w:rPr>
                <w:rFonts w:ascii="Century Gothic" w:hAnsi="Century Gothic"/>
                <w:sz w:val="20"/>
                <w:szCs w:val="20"/>
              </w:rPr>
            </w:pPr>
            <w:r>
              <w:rPr>
                <w:rFonts w:ascii="Century Gothic" w:hAnsi="Century Gothic"/>
                <w:sz w:val="20"/>
                <w:szCs w:val="20"/>
              </w:rPr>
              <w:t>Rebecca Peacock</w:t>
            </w:r>
          </w:p>
        </w:tc>
      </w:tr>
      <w:tr w:rsidR="00780FD7" w:rsidRPr="00525A85" w:rsidTr="008F366C">
        <w:tc>
          <w:tcPr>
            <w:tcW w:w="5062" w:type="dxa"/>
          </w:tcPr>
          <w:p w:rsidR="00780FD7" w:rsidRPr="006C70B9" w:rsidRDefault="0084086A" w:rsidP="00780FD7">
            <w:pPr>
              <w:pStyle w:val="Header"/>
              <w:rPr>
                <w:rFonts w:ascii="Century Gothic" w:hAnsi="Century Gothic"/>
                <w:b/>
                <w:sz w:val="20"/>
                <w:szCs w:val="20"/>
              </w:rPr>
            </w:pPr>
            <w:r w:rsidRPr="006C70B9">
              <w:rPr>
                <w:rFonts w:ascii="Century Gothic" w:hAnsi="Century Gothic"/>
                <w:b/>
                <w:sz w:val="20"/>
                <w:szCs w:val="20"/>
              </w:rPr>
              <w:t xml:space="preserve">        Contact Email</w:t>
            </w:r>
          </w:p>
        </w:tc>
        <w:tc>
          <w:tcPr>
            <w:tcW w:w="4288" w:type="dxa"/>
          </w:tcPr>
          <w:p w:rsidR="00780FD7" w:rsidRPr="00525A85" w:rsidRDefault="00BB427E" w:rsidP="008F366C">
            <w:pPr>
              <w:pStyle w:val="Header"/>
              <w:rPr>
                <w:rFonts w:ascii="Century Gothic" w:hAnsi="Century Gothic"/>
                <w:sz w:val="20"/>
                <w:szCs w:val="20"/>
              </w:rPr>
            </w:pPr>
            <w:hyperlink r:id="rId6" w:history="1">
              <w:r w:rsidR="007E6E0B" w:rsidRPr="007F3975">
                <w:rPr>
                  <w:rStyle w:val="Hyperlink"/>
                  <w:rFonts w:ascii="Century Gothic" w:hAnsi="Century Gothic"/>
                  <w:sz w:val="20"/>
                  <w:szCs w:val="20"/>
                </w:rPr>
                <w:t>Rebecca.Peacock@sfgov.org</w:t>
              </w:r>
            </w:hyperlink>
          </w:p>
        </w:tc>
      </w:tr>
      <w:tr w:rsidR="00780FD7" w:rsidRPr="00525A85" w:rsidTr="008F366C">
        <w:tc>
          <w:tcPr>
            <w:tcW w:w="5062" w:type="dxa"/>
          </w:tcPr>
          <w:p w:rsidR="00780FD7" w:rsidRPr="006C70B9" w:rsidRDefault="0084086A" w:rsidP="00780FD7">
            <w:pPr>
              <w:pStyle w:val="Header"/>
              <w:rPr>
                <w:rFonts w:ascii="Century Gothic" w:hAnsi="Century Gothic"/>
                <w:b/>
                <w:sz w:val="20"/>
                <w:szCs w:val="20"/>
              </w:rPr>
            </w:pPr>
            <w:r w:rsidRPr="006C70B9">
              <w:rPr>
                <w:rFonts w:ascii="Century Gothic" w:hAnsi="Century Gothic"/>
                <w:b/>
                <w:sz w:val="20"/>
                <w:szCs w:val="20"/>
              </w:rPr>
              <w:t xml:space="preserve">        Contact Phone</w:t>
            </w:r>
          </w:p>
        </w:tc>
        <w:tc>
          <w:tcPr>
            <w:tcW w:w="4288" w:type="dxa"/>
          </w:tcPr>
          <w:p w:rsidR="00780FD7" w:rsidRPr="00525A85" w:rsidRDefault="007E6E0B" w:rsidP="008F366C">
            <w:pPr>
              <w:pStyle w:val="Header"/>
              <w:rPr>
                <w:rFonts w:ascii="Century Gothic" w:hAnsi="Century Gothic"/>
                <w:sz w:val="20"/>
                <w:szCs w:val="20"/>
              </w:rPr>
            </w:pPr>
            <w:r>
              <w:rPr>
                <w:rFonts w:ascii="Century Gothic" w:hAnsi="Century Gothic"/>
                <w:sz w:val="20"/>
                <w:szCs w:val="20"/>
              </w:rPr>
              <w:t>415-554-6982</w:t>
            </w:r>
          </w:p>
        </w:tc>
      </w:tr>
      <w:tr w:rsidR="00E63BEB" w:rsidRPr="00525A85" w:rsidTr="008F366C">
        <w:tc>
          <w:tcPr>
            <w:tcW w:w="5062" w:type="dxa"/>
          </w:tcPr>
          <w:p w:rsidR="00E63BEB" w:rsidRPr="006C70B9" w:rsidRDefault="00E63BEB" w:rsidP="00992BF0">
            <w:pPr>
              <w:pStyle w:val="Header"/>
              <w:rPr>
                <w:rFonts w:ascii="Century Gothic" w:hAnsi="Century Gothic"/>
                <w:b/>
                <w:sz w:val="20"/>
                <w:szCs w:val="20"/>
              </w:rPr>
            </w:pPr>
            <w:r w:rsidRPr="006C70B9">
              <w:rPr>
                <w:rFonts w:ascii="Century Gothic" w:hAnsi="Century Gothic"/>
                <w:b/>
                <w:sz w:val="20"/>
                <w:szCs w:val="20"/>
              </w:rPr>
              <w:t>Reviewed and approved by Department Head</w:t>
            </w:r>
            <w:r w:rsidR="00992BF0" w:rsidRPr="006C70B9">
              <w:rPr>
                <w:rFonts w:ascii="Century Gothic" w:hAnsi="Century Gothic"/>
                <w:b/>
                <w:sz w:val="20"/>
                <w:szCs w:val="20"/>
              </w:rPr>
              <w:t>?</w:t>
            </w:r>
            <w:r w:rsidRPr="006C70B9">
              <w:rPr>
                <w:rFonts w:ascii="Century Gothic" w:hAnsi="Century Gothic"/>
                <w:b/>
                <w:sz w:val="20"/>
                <w:szCs w:val="20"/>
              </w:rPr>
              <w:tab/>
            </w:r>
          </w:p>
        </w:tc>
        <w:tc>
          <w:tcPr>
            <w:tcW w:w="4288" w:type="dxa"/>
          </w:tcPr>
          <w:p w:rsidR="00E63BEB" w:rsidRPr="00525A85" w:rsidRDefault="007E6E0B" w:rsidP="00C55CD1">
            <w:pPr>
              <w:pStyle w:val="Header"/>
              <w:rPr>
                <w:rFonts w:ascii="Century Gothic" w:hAnsi="Century Gothic"/>
                <w:sz w:val="20"/>
                <w:szCs w:val="20"/>
              </w:rPr>
            </w:pPr>
            <w:r>
              <w:rPr>
                <w:rFonts w:ascii="Century Gothic" w:hAnsi="Century Gothic"/>
                <w:sz w:val="20"/>
                <w:szCs w:val="20"/>
              </w:rPr>
              <w:t>X</w:t>
            </w:r>
            <w:r w:rsidR="00C55CD1">
              <w:rPr>
                <w:rFonts w:ascii="Century Gothic" w:hAnsi="Century Gothic"/>
                <w:sz w:val="20"/>
                <w:szCs w:val="20"/>
              </w:rPr>
              <w:t xml:space="preserve"> YES          </w:t>
            </w:r>
            <w:r w:rsidR="00E63BEB" w:rsidRPr="00525A85">
              <w:rPr>
                <w:rFonts w:ascii="Century Gothic" w:hAnsi="Century Gothic"/>
                <w:sz w:val="20"/>
                <w:szCs w:val="20"/>
              </w:rPr>
              <w:t>□ NO</w:t>
            </w:r>
          </w:p>
        </w:tc>
      </w:tr>
      <w:tr w:rsidR="00992BF0" w:rsidRPr="00525A85" w:rsidTr="008F366C">
        <w:tc>
          <w:tcPr>
            <w:tcW w:w="5062" w:type="dxa"/>
          </w:tcPr>
          <w:p w:rsidR="00992BF0" w:rsidRPr="006C70B9" w:rsidRDefault="00992BF0" w:rsidP="00992BF0">
            <w:pPr>
              <w:pStyle w:val="Header"/>
              <w:rPr>
                <w:rFonts w:ascii="Century Gothic" w:hAnsi="Century Gothic"/>
                <w:b/>
                <w:sz w:val="20"/>
                <w:szCs w:val="20"/>
              </w:rPr>
            </w:pPr>
            <w:r w:rsidRPr="006C70B9">
              <w:rPr>
                <w:rFonts w:ascii="Century Gothic" w:hAnsi="Century Gothic"/>
                <w:b/>
                <w:sz w:val="20"/>
                <w:szCs w:val="20"/>
              </w:rPr>
              <w:t>Reviewed and approved by Commission?</w:t>
            </w:r>
          </w:p>
        </w:tc>
        <w:tc>
          <w:tcPr>
            <w:tcW w:w="4288" w:type="dxa"/>
          </w:tcPr>
          <w:p w:rsidR="00992BF0" w:rsidRPr="00525A85" w:rsidRDefault="00992BF0" w:rsidP="00C55CD1">
            <w:pPr>
              <w:pStyle w:val="Header"/>
              <w:rPr>
                <w:rFonts w:ascii="Century Gothic" w:hAnsi="Century Gothic"/>
                <w:sz w:val="20"/>
                <w:szCs w:val="20"/>
              </w:rPr>
            </w:pPr>
            <w:r w:rsidRPr="00992BF0">
              <w:rPr>
                <w:rFonts w:ascii="Century Gothic" w:hAnsi="Century Gothic"/>
                <w:sz w:val="20"/>
                <w:szCs w:val="20"/>
              </w:rPr>
              <w:t>□ YES</w:t>
            </w:r>
            <w:r w:rsidR="00C55CD1">
              <w:rPr>
                <w:rFonts w:ascii="Century Gothic" w:hAnsi="Century Gothic"/>
                <w:sz w:val="20"/>
                <w:szCs w:val="20"/>
              </w:rPr>
              <w:t xml:space="preserve">          </w:t>
            </w:r>
            <w:r w:rsidRPr="00992BF0">
              <w:rPr>
                <w:rFonts w:ascii="Century Gothic" w:hAnsi="Century Gothic"/>
                <w:sz w:val="20"/>
                <w:szCs w:val="20"/>
              </w:rPr>
              <w:t>□ NO</w:t>
            </w:r>
            <w:r w:rsidR="00C55CD1">
              <w:rPr>
                <w:rFonts w:ascii="Century Gothic" w:hAnsi="Century Gothic"/>
                <w:sz w:val="20"/>
                <w:szCs w:val="20"/>
              </w:rPr>
              <w:t xml:space="preserve">          </w:t>
            </w:r>
            <w:r w:rsidR="007E6E0B">
              <w:rPr>
                <w:rFonts w:ascii="Century Gothic" w:hAnsi="Century Gothic"/>
                <w:sz w:val="20"/>
                <w:szCs w:val="20"/>
              </w:rPr>
              <w:t>X</w:t>
            </w:r>
            <w:r w:rsidR="00C55CD1">
              <w:rPr>
                <w:rFonts w:ascii="Century Gothic" w:hAnsi="Century Gothic"/>
                <w:sz w:val="20"/>
                <w:szCs w:val="20"/>
              </w:rPr>
              <w:t xml:space="preserve"> N/A</w:t>
            </w:r>
          </w:p>
        </w:tc>
      </w:tr>
    </w:tbl>
    <w:p w:rsidR="006F12C6" w:rsidRPr="00780FD7" w:rsidRDefault="006F12C6" w:rsidP="006F12C6">
      <w:pPr>
        <w:spacing w:after="0"/>
        <w:jc w:val="center"/>
        <w:rPr>
          <w:rFonts w:ascii="Century Gothic" w:hAnsi="Century Gothic"/>
          <w:b/>
          <w:sz w:val="20"/>
          <w:szCs w:val="20"/>
          <w:u w:val="single"/>
        </w:rPr>
      </w:pPr>
    </w:p>
    <w:p w:rsidR="006F12C6" w:rsidRDefault="007E6E0B" w:rsidP="0084086A">
      <w:pPr>
        <w:spacing w:after="0"/>
        <w:jc w:val="center"/>
        <w:rPr>
          <w:rFonts w:ascii="Century Gothic" w:hAnsi="Century Gothic"/>
          <w:b/>
          <w:sz w:val="32"/>
          <w:szCs w:val="32"/>
          <w:u w:val="single"/>
        </w:rPr>
      </w:pPr>
      <w:r>
        <w:rPr>
          <w:rFonts w:ascii="Century Gothic" w:hAnsi="Century Gothic"/>
          <w:b/>
          <w:sz w:val="32"/>
          <w:szCs w:val="32"/>
          <w:u w:val="single"/>
        </w:rPr>
        <w:t>SB 898</w:t>
      </w:r>
    </w:p>
    <w:p w:rsidR="0084086A" w:rsidRDefault="007E6E0B" w:rsidP="0084086A">
      <w:pPr>
        <w:spacing w:after="0"/>
        <w:jc w:val="center"/>
        <w:rPr>
          <w:rFonts w:ascii="Century Gothic" w:hAnsi="Century Gothic"/>
          <w:b/>
          <w:sz w:val="32"/>
          <w:szCs w:val="32"/>
          <w:u w:val="single"/>
        </w:rPr>
      </w:pPr>
      <w:r>
        <w:rPr>
          <w:rFonts w:ascii="Century Gothic" w:hAnsi="Century Gothic"/>
          <w:b/>
          <w:sz w:val="32"/>
          <w:szCs w:val="32"/>
          <w:u w:val="single"/>
        </w:rPr>
        <w:t>Sen. Hertzberg</w:t>
      </w:r>
      <w:r w:rsidR="00370C5C">
        <w:rPr>
          <w:rFonts w:ascii="Century Gothic" w:hAnsi="Century Gothic"/>
          <w:b/>
          <w:sz w:val="32"/>
          <w:szCs w:val="32"/>
          <w:u w:val="single"/>
        </w:rPr>
        <w:t xml:space="preserve">, </w:t>
      </w:r>
      <w:r>
        <w:rPr>
          <w:rFonts w:ascii="Century Gothic" w:hAnsi="Century Gothic"/>
          <w:b/>
          <w:sz w:val="32"/>
          <w:szCs w:val="32"/>
          <w:u w:val="single"/>
        </w:rPr>
        <w:t>District 18, Democrat</w:t>
      </w:r>
    </w:p>
    <w:p w:rsidR="0084086A" w:rsidRPr="006F12C6" w:rsidRDefault="00CF0A7E" w:rsidP="0084086A">
      <w:pPr>
        <w:spacing w:after="0"/>
        <w:jc w:val="center"/>
        <w:rPr>
          <w:rFonts w:ascii="Century Gothic" w:hAnsi="Century Gothic"/>
          <w:b/>
          <w:sz w:val="32"/>
          <w:szCs w:val="32"/>
          <w:u w:val="single"/>
        </w:rPr>
      </w:pPr>
      <w:r>
        <w:rPr>
          <w:rFonts w:ascii="Century Gothic" w:hAnsi="Century Gothic"/>
          <w:b/>
          <w:sz w:val="32"/>
          <w:szCs w:val="32"/>
          <w:u w:val="single"/>
        </w:rPr>
        <w:t xml:space="preserve">Bail: </w:t>
      </w:r>
      <w:r w:rsidR="008F22BE">
        <w:rPr>
          <w:rFonts w:ascii="Century Gothic" w:hAnsi="Century Gothic"/>
          <w:b/>
          <w:sz w:val="32"/>
          <w:szCs w:val="32"/>
          <w:u w:val="single"/>
        </w:rPr>
        <w:t>Surety insurers</w:t>
      </w:r>
    </w:p>
    <w:p w:rsidR="006F12C6" w:rsidRDefault="006F12C6" w:rsidP="006F12C6">
      <w:pPr>
        <w:rPr>
          <w:rFonts w:ascii="Century Gothic" w:hAnsi="Century Gothic"/>
          <w:b/>
          <w:sz w:val="20"/>
          <w:szCs w:val="20"/>
        </w:rPr>
      </w:pPr>
    </w:p>
    <w:p w:rsidR="006F12C6" w:rsidRPr="00525A85" w:rsidRDefault="006F12C6" w:rsidP="006F12C6">
      <w:pPr>
        <w:rPr>
          <w:rFonts w:ascii="Century Gothic" w:hAnsi="Century Gothic"/>
          <w:b/>
          <w:sz w:val="20"/>
          <w:szCs w:val="20"/>
        </w:rPr>
        <w:sectPr w:rsidR="006F12C6" w:rsidRPr="00525A85" w:rsidSect="007344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6C70B9" w:rsidRDefault="006C70B9" w:rsidP="006C70B9">
      <w:pPr>
        <w:pBdr>
          <w:bottom w:val="single" w:sz="4" w:space="1" w:color="auto"/>
        </w:pBdr>
        <w:spacing w:after="0" w:line="240" w:lineRule="auto"/>
        <w:jc w:val="center"/>
        <w:rPr>
          <w:rFonts w:ascii="Century Gothic" w:hAnsi="Century Gothic"/>
          <w:b/>
          <w:sz w:val="20"/>
          <w:szCs w:val="20"/>
        </w:rPr>
      </w:pPr>
      <w:r>
        <w:rPr>
          <w:rFonts w:ascii="Century Gothic" w:hAnsi="Century Gothic"/>
          <w:b/>
          <w:sz w:val="20"/>
          <w:szCs w:val="20"/>
        </w:rPr>
        <w:t>Recommended Position</w:t>
      </w:r>
    </w:p>
    <w:p w:rsidR="006C70B9" w:rsidRPr="00525A85" w:rsidRDefault="006C70B9" w:rsidP="006C70B9">
      <w:pPr>
        <w:spacing w:after="0" w:line="240" w:lineRule="auto"/>
        <w:jc w:val="both"/>
        <w:rPr>
          <w:rFonts w:ascii="Century Gothic" w:hAnsi="Century Gothic"/>
          <w:b/>
          <w:sz w:val="20"/>
          <w:szCs w:val="20"/>
        </w:rPr>
      </w:pPr>
      <w:r w:rsidRPr="006C70B9">
        <w:rPr>
          <w:rFonts w:ascii="Century Gothic" w:hAnsi="Century Gothic"/>
          <w:b/>
          <w:sz w:val="24"/>
          <w:szCs w:val="24"/>
        </w:rPr>
        <w:t>□</w:t>
      </w:r>
      <w:r>
        <w:rPr>
          <w:rFonts w:ascii="Century Gothic" w:hAnsi="Century Gothic"/>
          <w:b/>
          <w:sz w:val="20"/>
          <w:szCs w:val="20"/>
        </w:rPr>
        <w:t xml:space="preserve"> SPONSOR</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7E6E0B">
        <w:rPr>
          <w:rFonts w:ascii="Century Gothic" w:hAnsi="Century Gothic"/>
          <w:b/>
          <w:sz w:val="24"/>
          <w:szCs w:val="24"/>
        </w:rPr>
        <w:t>X</w:t>
      </w:r>
      <w:r w:rsidRPr="00525A85">
        <w:rPr>
          <w:rFonts w:ascii="Century Gothic" w:hAnsi="Century Gothic"/>
          <w:b/>
          <w:sz w:val="20"/>
          <w:szCs w:val="20"/>
        </w:rPr>
        <w:t xml:space="preserve"> SUPPORT</w:t>
      </w:r>
    </w:p>
    <w:p w:rsidR="006C70B9" w:rsidRPr="00525A85" w:rsidRDefault="006C70B9" w:rsidP="006C70B9">
      <w:pPr>
        <w:spacing w:after="0" w:line="240" w:lineRule="auto"/>
        <w:jc w:val="both"/>
        <w:rPr>
          <w:rFonts w:ascii="Century Gothic" w:hAnsi="Century Gothic"/>
          <w:b/>
          <w:sz w:val="20"/>
          <w:szCs w:val="20"/>
        </w:rPr>
      </w:pPr>
      <w:r w:rsidRPr="006C70B9">
        <w:rPr>
          <w:rFonts w:ascii="Century Gothic" w:hAnsi="Century Gothic"/>
          <w:b/>
          <w:sz w:val="24"/>
          <w:szCs w:val="24"/>
        </w:rPr>
        <w:t xml:space="preserve">□ </w:t>
      </w:r>
      <w:r>
        <w:rPr>
          <w:rFonts w:ascii="Century Gothic" w:hAnsi="Century Gothic"/>
          <w:b/>
          <w:sz w:val="20"/>
          <w:szCs w:val="20"/>
        </w:rPr>
        <w:t>SUPPORT if amended</w:t>
      </w:r>
      <w:r>
        <w:rPr>
          <w:rFonts w:ascii="Century Gothic" w:hAnsi="Century Gothic"/>
          <w:b/>
          <w:sz w:val="20"/>
          <w:szCs w:val="20"/>
        </w:rPr>
        <w:tab/>
      </w:r>
      <w:r w:rsidRPr="006C70B9">
        <w:rPr>
          <w:rFonts w:ascii="Century Gothic" w:hAnsi="Century Gothic"/>
          <w:b/>
          <w:sz w:val="24"/>
          <w:szCs w:val="24"/>
        </w:rPr>
        <w:t>□</w:t>
      </w:r>
      <w:r w:rsidRPr="00525A85">
        <w:rPr>
          <w:rFonts w:ascii="Century Gothic" w:hAnsi="Century Gothic"/>
          <w:b/>
          <w:sz w:val="20"/>
          <w:szCs w:val="20"/>
        </w:rPr>
        <w:t xml:space="preserve"> OPPOSE</w:t>
      </w:r>
    </w:p>
    <w:p w:rsidR="006C70B9" w:rsidRDefault="006C70B9" w:rsidP="006C70B9">
      <w:pPr>
        <w:spacing w:after="0" w:line="240" w:lineRule="auto"/>
        <w:jc w:val="both"/>
        <w:rPr>
          <w:rFonts w:ascii="Century Gothic" w:hAnsi="Century Gothic"/>
          <w:b/>
          <w:sz w:val="20"/>
          <w:szCs w:val="20"/>
        </w:rPr>
      </w:pPr>
      <w:r w:rsidRPr="006C70B9">
        <w:rPr>
          <w:rFonts w:ascii="Century Gothic" w:hAnsi="Century Gothic"/>
          <w:b/>
          <w:sz w:val="24"/>
          <w:szCs w:val="24"/>
        </w:rPr>
        <w:t>□</w:t>
      </w:r>
      <w:r w:rsidRPr="00525A85">
        <w:rPr>
          <w:rFonts w:ascii="Century Gothic" w:hAnsi="Century Gothic"/>
          <w:b/>
          <w:sz w:val="20"/>
          <w:szCs w:val="20"/>
        </w:rPr>
        <w:t xml:space="preserve"> OTHER &amp; Describe</w:t>
      </w:r>
    </w:p>
    <w:p w:rsidR="006C70B9" w:rsidRDefault="006C70B9" w:rsidP="004D05D8">
      <w:pPr>
        <w:pBdr>
          <w:bottom w:val="single" w:sz="4" w:space="1" w:color="auto"/>
        </w:pBdr>
        <w:spacing w:after="0" w:line="240" w:lineRule="auto"/>
        <w:jc w:val="center"/>
        <w:rPr>
          <w:rFonts w:ascii="Century Gothic" w:hAnsi="Century Gothic"/>
          <w:b/>
          <w:sz w:val="20"/>
          <w:szCs w:val="20"/>
        </w:rPr>
      </w:pPr>
    </w:p>
    <w:p w:rsidR="00CC58AC" w:rsidRPr="00525A85" w:rsidRDefault="00525A85" w:rsidP="004D05D8">
      <w:pPr>
        <w:pBdr>
          <w:bottom w:val="single" w:sz="4" w:space="1" w:color="auto"/>
        </w:pBdr>
        <w:spacing w:after="0" w:line="240" w:lineRule="auto"/>
        <w:jc w:val="center"/>
        <w:rPr>
          <w:rFonts w:ascii="Century Gothic" w:hAnsi="Century Gothic"/>
          <w:b/>
          <w:sz w:val="20"/>
          <w:szCs w:val="20"/>
        </w:rPr>
      </w:pPr>
      <w:r>
        <w:rPr>
          <w:rFonts w:ascii="Century Gothic" w:hAnsi="Century Gothic"/>
          <w:b/>
          <w:sz w:val="20"/>
          <w:szCs w:val="20"/>
        </w:rPr>
        <w:t>Summary</w:t>
      </w:r>
    </w:p>
    <w:p w:rsidR="00981A78" w:rsidRDefault="00981A78" w:rsidP="00866096">
      <w:pPr>
        <w:spacing w:after="0" w:line="240" w:lineRule="auto"/>
        <w:ind w:firstLine="720"/>
        <w:jc w:val="both"/>
        <w:rPr>
          <w:rFonts w:ascii="Century Gothic" w:hAnsi="Century Gothic"/>
          <w:sz w:val="20"/>
          <w:szCs w:val="20"/>
        </w:rPr>
      </w:pPr>
      <w:r w:rsidRPr="00981A78">
        <w:rPr>
          <w:rFonts w:ascii="Century Gothic" w:hAnsi="Century Gothic"/>
          <w:sz w:val="20"/>
          <w:szCs w:val="20"/>
        </w:rPr>
        <w:t>This bill requires bail agents to translate their contracts into five non-English languages and requires them to post the English version and translations online, and requires bail agents and bail companies to submit specified information and documents to the California Department of Insurance (CDI), Judicial Council, and Attorney General.</w:t>
      </w:r>
    </w:p>
    <w:p w:rsidR="00981A78" w:rsidRDefault="00981A78" w:rsidP="007E6E0B">
      <w:pPr>
        <w:spacing w:after="0" w:line="240" w:lineRule="auto"/>
        <w:jc w:val="both"/>
        <w:rPr>
          <w:rFonts w:ascii="Century Gothic" w:hAnsi="Century Gothic"/>
          <w:sz w:val="20"/>
          <w:szCs w:val="20"/>
        </w:rPr>
      </w:pPr>
    </w:p>
    <w:p w:rsidR="00866096" w:rsidRDefault="007E6E0B" w:rsidP="007E6E0B">
      <w:pPr>
        <w:spacing w:after="0" w:line="240" w:lineRule="auto"/>
        <w:jc w:val="both"/>
        <w:rPr>
          <w:rFonts w:ascii="Century Gothic" w:hAnsi="Century Gothic"/>
          <w:sz w:val="20"/>
          <w:szCs w:val="20"/>
        </w:rPr>
      </w:pPr>
      <w:r w:rsidRPr="007E6E0B">
        <w:rPr>
          <w:rFonts w:ascii="Century Gothic" w:hAnsi="Century Gothic"/>
          <w:sz w:val="20"/>
          <w:szCs w:val="20"/>
        </w:rPr>
        <w:t xml:space="preserve">SB 898 calls on the state Department of Insurance to study the bail insurance market, particularly the relationship between the risk assumed by the insurer and the rates charged for coverage. The Department would also compare the risk and rates of bail insurance with the risk and rates of automobile insurance in California and make appropriate recommendations based on the Department’s analysis. </w:t>
      </w:r>
    </w:p>
    <w:p w:rsidR="00866096" w:rsidRDefault="00866096" w:rsidP="007E6E0B">
      <w:pPr>
        <w:spacing w:after="0" w:line="240" w:lineRule="auto"/>
        <w:jc w:val="both"/>
        <w:rPr>
          <w:rFonts w:ascii="Century Gothic" w:hAnsi="Century Gothic"/>
          <w:sz w:val="20"/>
          <w:szCs w:val="20"/>
        </w:rPr>
      </w:pPr>
    </w:p>
    <w:p w:rsidR="00734416" w:rsidRPr="007E6E0B" w:rsidRDefault="00734416" w:rsidP="007E6E0B">
      <w:pPr>
        <w:spacing w:after="0" w:line="240" w:lineRule="auto"/>
        <w:jc w:val="both"/>
        <w:rPr>
          <w:rFonts w:ascii="Century Gothic" w:hAnsi="Century Gothic"/>
          <w:sz w:val="20"/>
          <w:szCs w:val="20"/>
        </w:rPr>
      </w:pPr>
    </w:p>
    <w:p w:rsidR="00525A85" w:rsidRPr="00525A85" w:rsidRDefault="00525A85" w:rsidP="00525A85">
      <w:pPr>
        <w:pBdr>
          <w:bottom w:val="single" w:sz="4" w:space="1" w:color="auto"/>
        </w:pBdr>
        <w:spacing w:after="0" w:line="240" w:lineRule="auto"/>
        <w:jc w:val="center"/>
        <w:rPr>
          <w:rFonts w:ascii="Century Gothic" w:hAnsi="Century Gothic"/>
          <w:b/>
          <w:sz w:val="20"/>
          <w:szCs w:val="20"/>
        </w:rPr>
      </w:pPr>
      <w:r>
        <w:rPr>
          <w:rFonts w:ascii="Century Gothic" w:hAnsi="Century Gothic"/>
          <w:b/>
          <w:sz w:val="20"/>
          <w:szCs w:val="20"/>
        </w:rPr>
        <w:t>Background/Analysis</w:t>
      </w:r>
    </w:p>
    <w:p w:rsidR="001F5EFA" w:rsidRDefault="007E6E0B" w:rsidP="00866096">
      <w:pPr>
        <w:spacing w:after="0" w:line="240" w:lineRule="auto"/>
        <w:ind w:firstLine="720"/>
        <w:jc w:val="both"/>
        <w:rPr>
          <w:rFonts w:ascii="Century Gothic" w:hAnsi="Century Gothic"/>
          <w:sz w:val="20"/>
          <w:szCs w:val="20"/>
        </w:rPr>
      </w:pPr>
      <w:r w:rsidRPr="007E6E0B">
        <w:rPr>
          <w:rFonts w:ascii="Century Gothic" w:hAnsi="Century Gothic"/>
          <w:sz w:val="20"/>
          <w:szCs w:val="20"/>
        </w:rPr>
        <w:t>Existing law generally regulates the undertaking of bail and the licensing of bail agents, bail permittees, and bail solicitors. Existing law requires an insurer executing an undertaking of bail to do so through a person holding a bail license. Existing law authorizes the Insurance Commissioner to issue bail licenses and to regulate bail licensees. Existing law makes it a public offense to violate these provisions, or any rule of the commissioner made pursuant to these provisions, and makes a violation punishable by a fine not exceeding $10,000, or by imprisonment as specified, or by both that fine and imprisonment.</w:t>
      </w:r>
    </w:p>
    <w:p w:rsidR="007E6E0B" w:rsidRPr="001F5EFA" w:rsidRDefault="007E6E0B" w:rsidP="00B131C9">
      <w:pPr>
        <w:spacing w:after="0" w:line="240" w:lineRule="auto"/>
        <w:jc w:val="both"/>
        <w:rPr>
          <w:rFonts w:ascii="Century Gothic" w:hAnsi="Century Gothic"/>
          <w:sz w:val="20"/>
          <w:szCs w:val="20"/>
        </w:rPr>
      </w:pPr>
    </w:p>
    <w:p w:rsidR="00525A85" w:rsidRPr="00525A85" w:rsidRDefault="00525A85" w:rsidP="00525A85">
      <w:pPr>
        <w:pBdr>
          <w:bottom w:val="single" w:sz="4" w:space="1" w:color="auto"/>
        </w:pBdr>
        <w:spacing w:after="0" w:line="240" w:lineRule="auto"/>
        <w:jc w:val="center"/>
        <w:rPr>
          <w:rFonts w:ascii="Century Gothic" w:hAnsi="Century Gothic"/>
          <w:b/>
          <w:sz w:val="20"/>
          <w:szCs w:val="20"/>
        </w:rPr>
      </w:pPr>
      <w:r>
        <w:rPr>
          <w:rFonts w:ascii="Century Gothic" w:hAnsi="Century Gothic"/>
          <w:b/>
          <w:sz w:val="20"/>
          <w:szCs w:val="20"/>
        </w:rPr>
        <w:t>Challenge</w:t>
      </w:r>
    </w:p>
    <w:p w:rsidR="00981A78" w:rsidRPr="00981A78" w:rsidRDefault="00981A78" w:rsidP="00866096">
      <w:pPr>
        <w:spacing w:after="0" w:line="240" w:lineRule="auto"/>
        <w:ind w:firstLine="720"/>
        <w:jc w:val="both"/>
        <w:rPr>
          <w:rFonts w:ascii="Century Gothic" w:hAnsi="Century Gothic"/>
          <w:sz w:val="20"/>
          <w:szCs w:val="20"/>
        </w:rPr>
      </w:pPr>
      <w:r w:rsidRPr="00981A78">
        <w:rPr>
          <w:rFonts w:ascii="Century Gothic" w:hAnsi="Century Gothic"/>
          <w:sz w:val="20"/>
          <w:szCs w:val="20"/>
        </w:rPr>
        <w:t>The California Labor Federation argues that bail insurer contracts contain exploitive terms including payday lender type installment plans, property liens, co-signing by family and friends, invasive surveillance, and unpredictable costs. The lack of transparency, oversight, and review of these practices can have devastating impacts on low-income families.</w:t>
      </w:r>
    </w:p>
    <w:p w:rsidR="006A52A0" w:rsidRPr="001F5EFA" w:rsidRDefault="00981A78" w:rsidP="00734416">
      <w:pPr>
        <w:spacing w:after="0" w:line="240" w:lineRule="auto"/>
        <w:ind w:firstLine="720"/>
        <w:jc w:val="both"/>
        <w:rPr>
          <w:rFonts w:ascii="Century Gothic" w:hAnsi="Century Gothic"/>
          <w:sz w:val="20"/>
          <w:szCs w:val="20"/>
        </w:rPr>
      </w:pPr>
      <w:r w:rsidRPr="00981A78">
        <w:rPr>
          <w:rFonts w:ascii="Century Gothic" w:hAnsi="Century Gothic"/>
          <w:sz w:val="20"/>
          <w:szCs w:val="20"/>
        </w:rPr>
        <w:t xml:space="preserve">The Golden State Bail Agents Association (GSBAA) argues that roughly 90% </w:t>
      </w:r>
      <w:r w:rsidRPr="00981A78">
        <w:rPr>
          <w:rFonts w:ascii="Century Gothic" w:hAnsi="Century Gothic"/>
          <w:sz w:val="20"/>
          <w:szCs w:val="20"/>
        </w:rPr>
        <w:lastRenderedPageBreak/>
        <w:t>of licensees are employees of a bail agency and the bill places an unreasonable burden on employees. GSBAA suggests that CDI provide model forms in non-English languages and that CDI collect and post the purchase contracts. GSBAA also argues that there is no good reason why the same annual and quarterly reports must be sent to three different agencies; CDI should receive them and make the information available on request to agencies and members of the public.</w:t>
      </w:r>
      <w:r w:rsidR="006A52A0">
        <w:rPr>
          <w:rFonts w:ascii="Century Gothic" w:hAnsi="Century Gothic"/>
          <w:sz w:val="20"/>
          <w:szCs w:val="20"/>
        </w:rPr>
        <w:br/>
      </w:r>
    </w:p>
    <w:p w:rsidR="00525A85" w:rsidRPr="00525A85" w:rsidRDefault="00525A85" w:rsidP="00525A85">
      <w:pPr>
        <w:pBdr>
          <w:bottom w:val="single" w:sz="4" w:space="1" w:color="auto"/>
        </w:pBdr>
        <w:spacing w:after="0" w:line="240" w:lineRule="auto"/>
        <w:jc w:val="center"/>
        <w:rPr>
          <w:rFonts w:ascii="Century Gothic" w:hAnsi="Century Gothic"/>
          <w:b/>
          <w:sz w:val="20"/>
          <w:szCs w:val="20"/>
        </w:rPr>
      </w:pPr>
      <w:r>
        <w:rPr>
          <w:rFonts w:ascii="Century Gothic" w:hAnsi="Century Gothic"/>
          <w:b/>
          <w:sz w:val="20"/>
          <w:szCs w:val="20"/>
        </w:rPr>
        <w:t>Solution/</w:t>
      </w:r>
      <w:r w:rsidRPr="00525A85">
        <w:rPr>
          <w:rFonts w:ascii="Century Gothic" w:hAnsi="Century Gothic"/>
          <w:b/>
          <w:sz w:val="20"/>
          <w:szCs w:val="20"/>
        </w:rPr>
        <w:t>Recommended Proposal</w:t>
      </w:r>
    </w:p>
    <w:p w:rsidR="006C70B9" w:rsidRDefault="007E6E0B" w:rsidP="00866096">
      <w:pPr>
        <w:spacing w:after="0" w:line="240" w:lineRule="auto"/>
        <w:ind w:firstLine="720"/>
        <w:jc w:val="both"/>
        <w:rPr>
          <w:rFonts w:ascii="Century Gothic" w:hAnsi="Century Gothic"/>
          <w:sz w:val="20"/>
          <w:szCs w:val="20"/>
        </w:rPr>
      </w:pPr>
      <w:r w:rsidRPr="007E6E0B">
        <w:rPr>
          <w:rFonts w:ascii="Century Gothic" w:hAnsi="Century Gothic"/>
          <w:sz w:val="20"/>
          <w:szCs w:val="20"/>
        </w:rPr>
        <w:t>This bill requires bail agents to translate their contracts into five non-English languages and requires them to post the English version and translations online, and requires bail agents and bail companies to submit specified information and documents to the California Department of Insurance (CDI), Judicial Council, and Attorney General.</w:t>
      </w:r>
    </w:p>
    <w:p w:rsidR="006C70B9" w:rsidRDefault="006C70B9" w:rsidP="00B131C9">
      <w:pPr>
        <w:spacing w:after="0" w:line="240" w:lineRule="auto"/>
        <w:jc w:val="both"/>
        <w:rPr>
          <w:rFonts w:ascii="Century Gothic" w:hAnsi="Century Gothic"/>
          <w:sz w:val="20"/>
          <w:szCs w:val="20"/>
        </w:rPr>
      </w:pPr>
    </w:p>
    <w:p w:rsidR="00992BF0" w:rsidRPr="00525A85" w:rsidRDefault="00992BF0" w:rsidP="00992BF0">
      <w:pPr>
        <w:pBdr>
          <w:bottom w:val="single" w:sz="4" w:space="1" w:color="auto"/>
        </w:pBdr>
        <w:spacing w:after="0" w:line="240" w:lineRule="auto"/>
        <w:jc w:val="center"/>
        <w:rPr>
          <w:rFonts w:ascii="Century Gothic" w:hAnsi="Century Gothic"/>
          <w:b/>
          <w:sz w:val="20"/>
          <w:szCs w:val="20"/>
        </w:rPr>
      </w:pPr>
      <w:r>
        <w:rPr>
          <w:rFonts w:ascii="Century Gothic" w:hAnsi="Century Gothic"/>
          <w:b/>
          <w:sz w:val="20"/>
          <w:szCs w:val="20"/>
        </w:rPr>
        <w:t>Departments Impacted &amp; Why</w:t>
      </w:r>
    </w:p>
    <w:p w:rsidR="00992BF0" w:rsidRPr="007E6E0B" w:rsidRDefault="007E6E0B" w:rsidP="00B131C9">
      <w:pPr>
        <w:pStyle w:val="Header"/>
        <w:jc w:val="both"/>
        <w:rPr>
          <w:rFonts w:ascii="Century Gothic" w:hAnsi="Century Gothic"/>
          <w:sz w:val="20"/>
          <w:szCs w:val="20"/>
        </w:rPr>
      </w:pPr>
      <w:r>
        <w:rPr>
          <w:rFonts w:ascii="Century Gothic" w:hAnsi="Century Gothic"/>
          <w:sz w:val="20"/>
          <w:szCs w:val="20"/>
        </w:rPr>
        <w:t>No other departments impacted.</w:t>
      </w:r>
    </w:p>
    <w:p w:rsidR="001F5EFA" w:rsidRPr="001F5EFA" w:rsidRDefault="001F5EFA" w:rsidP="00B131C9">
      <w:pPr>
        <w:pStyle w:val="Header"/>
        <w:jc w:val="both"/>
        <w:rPr>
          <w:rFonts w:ascii="Century Gothic" w:hAnsi="Century Gothic"/>
          <w:sz w:val="20"/>
          <w:szCs w:val="20"/>
        </w:rPr>
      </w:pPr>
    </w:p>
    <w:p w:rsidR="00992BF0" w:rsidRPr="00525A85" w:rsidRDefault="00992BF0" w:rsidP="00992BF0">
      <w:pPr>
        <w:pBdr>
          <w:bottom w:val="single" w:sz="4" w:space="1" w:color="auto"/>
        </w:pBdr>
        <w:spacing w:after="0" w:line="240" w:lineRule="auto"/>
        <w:jc w:val="center"/>
        <w:rPr>
          <w:rFonts w:ascii="Century Gothic" w:hAnsi="Century Gothic"/>
          <w:b/>
          <w:sz w:val="20"/>
          <w:szCs w:val="20"/>
        </w:rPr>
      </w:pPr>
      <w:r w:rsidRPr="00525A85">
        <w:rPr>
          <w:rFonts w:ascii="Century Gothic" w:hAnsi="Century Gothic"/>
          <w:b/>
          <w:sz w:val="20"/>
          <w:szCs w:val="20"/>
        </w:rPr>
        <w:t>Fiscal Impact</w:t>
      </w:r>
    </w:p>
    <w:p w:rsidR="007E6E0B" w:rsidRPr="007E6E0B" w:rsidRDefault="00866096" w:rsidP="007E6E0B">
      <w:pPr>
        <w:pStyle w:val="Header"/>
        <w:rPr>
          <w:rFonts w:ascii="Century Gothic" w:hAnsi="Century Gothic"/>
          <w:sz w:val="20"/>
          <w:szCs w:val="20"/>
        </w:rPr>
      </w:pPr>
      <w:r>
        <w:rPr>
          <w:rFonts w:ascii="Century Gothic" w:hAnsi="Century Gothic"/>
          <w:sz w:val="20"/>
          <w:szCs w:val="20"/>
        </w:rPr>
        <w:tab/>
      </w:r>
      <w:r w:rsidR="007E6E0B" w:rsidRPr="007E6E0B">
        <w:rPr>
          <w:rFonts w:ascii="Century Gothic" w:hAnsi="Century Gothic"/>
          <w:sz w:val="20"/>
          <w:szCs w:val="20"/>
        </w:rPr>
        <w:t xml:space="preserve">According to the Senate Appropriations Committee, this bill will result in additional workload for CDI to review all bail contracts for accuracy of translation at an estimated to cost to the Insurance Fund of $29,000 in FY 2018-19 and $126,000 in FY 2019-20. </w:t>
      </w:r>
    </w:p>
    <w:p w:rsidR="007E6E0B" w:rsidRDefault="007E6E0B" w:rsidP="007E6E0B">
      <w:pPr>
        <w:pStyle w:val="Header"/>
        <w:rPr>
          <w:rFonts w:ascii="Century Gothic" w:hAnsi="Century Gothic"/>
          <w:sz w:val="20"/>
          <w:szCs w:val="20"/>
        </w:rPr>
      </w:pPr>
      <w:r w:rsidRPr="007E6E0B">
        <w:rPr>
          <w:rFonts w:ascii="Century Gothic" w:hAnsi="Century Gothic"/>
          <w:sz w:val="20"/>
          <w:szCs w:val="20"/>
        </w:rPr>
        <w:t>There may also be unknown costs to the General Fund related to the potential prosecution and incarceration of violators. The proposed 2018-19 per capita cost to house a person in a state prison is $80,729 annually, with an annual marginal rate per inmate of between $10,000 and $12,000. The average contract-prison rate cost per inmate is over $30,000 annually. The actual costs would</w:t>
      </w:r>
      <w:r w:rsidR="00673165">
        <w:rPr>
          <w:rFonts w:ascii="Century Gothic" w:hAnsi="Century Gothic"/>
          <w:sz w:val="20"/>
          <w:szCs w:val="20"/>
        </w:rPr>
        <w:t xml:space="preserve"> depend on how many </w:t>
      </w:r>
      <w:r w:rsidRPr="007E6E0B">
        <w:rPr>
          <w:rFonts w:ascii="Century Gothic" w:hAnsi="Century Gothic"/>
          <w:sz w:val="20"/>
          <w:szCs w:val="20"/>
        </w:rPr>
        <w:t xml:space="preserve">defendants are sentenced to prison for these violations. </w:t>
      </w:r>
    </w:p>
    <w:p w:rsidR="002D5B3A" w:rsidRDefault="00866096" w:rsidP="00ED3607">
      <w:pPr>
        <w:pStyle w:val="Header"/>
        <w:rPr>
          <w:rFonts w:ascii="Century Gothic" w:hAnsi="Century Gothic"/>
          <w:sz w:val="20"/>
          <w:szCs w:val="20"/>
        </w:rPr>
      </w:pPr>
      <w:r>
        <w:rPr>
          <w:rFonts w:ascii="Century Gothic" w:hAnsi="Century Gothic"/>
          <w:sz w:val="20"/>
          <w:szCs w:val="20"/>
        </w:rPr>
        <w:tab/>
      </w:r>
      <w:r w:rsidR="007E6E0B" w:rsidRPr="007E6E0B">
        <w:rPr>
          <w:rFonts w:ascii="Century Gothic" w:hAnsi="Century Gothic"/>
          <w:sz w:val="20"/>
          <w:szCs w:val="20"/>
        </w:rPr>
        <w:t xml:space="preserve">Additionally, there may be unknown, potentially significant workload cost to the Trial Court Trust Fund from pressures on the court to adjudicate charges brought against defendants who violate the provisions of this bill. While the courts are not </w:t>
      </w:r>
      <w:r w:rsidR="007E6E0B" w:rsidRPr="007E6E0B">
        <w:rPr>
          <w:rFonts w:ascii="Century Gothic" w:hAnsi="Century Gothic"/>
          <w:sz w:val="20"/>
          <w:szCs w:val="20"/>
        </w:rPr>
        <w:t>funded on a workload basis, an increase in workload could result in delayed court services and would put pressure to fund additional staff and resources.</w:t>
      </w:r>
    </w:p>
    <w:p w:rsidR="00BB427E" w:rsidRDefault="00BB427E" w:rsidP="00ED3607">
      <w:pPr>
        <w:pStyle w:val="Header"/>
        <w:rPr>
          <w:rFonts w:ascii="Century Gothic" w:hAnsi="Century Gothic"/>
          <w:sz w:val="20"/>
          <w:szCs w:val="20"/>
        </w:rPr>
      </w:pPr>
    </w:p>
    <w:p w:rsidR="00BB427E" w:rsidRPr="00525A85" w:rsidRDefault="00BB427E" w:rsidP="00BB427E">
      <w:pPr>
        <w:pBdr>
          <w:bottom w:val="single" w:sz="4" w:space="1" w:color="auto"/>
        </w:pBdr>
        <w:spacing w:after="0" w:line="240" w:lineRule="auto"/>
        <w:jc w:val="center"/>
        <w:rPr>
          <w:rFonts w:ascii="Century Gothic" w:hAnsi="Century Gothic"/>
          <w:b/>
          <w:sz w:val="20"/>
          <w:szCs w:val="20"/>
        </w:rPr>
      </w:pPr>
      <w:r w:rsidRPr="00BB427E">
        <w:rPr>
          <w:rFonts w:ascii="Century Gothic" w:hAnsi="Century Gothic"/>
          <w:b/>
          <w:sz w:val="20"/>
          <w:szCs w:val="20"/>
        </w:rPr>
        <w:t>Support / Opposition</w:t>
      </w:r>
    </w:p>
    <w:p w:rsidR="00BB427E" w:rsidRDefault="00BB427E" w:rsidP="00ED3607">
      <w:pPr>
        <w:pStyle w:val="Header"/>
        <w:rPr>
          <w:rFonts w:ascii="Century Gothic" w:hAnsi="Century Gothic"/>
          <w:sz w:val="20"/>
          <w:szCs w:val="20"/>
        </w:rPr>
      </w:pPr>
      <w:r>
        <w:rPr>
          <w:rFonts w:ascii="Century Gothic" w:hAnsi="Century Gothic"/>
          <w:sz w:val="20"/>
          <w:szCs w:val="20"/>
        </w:rPr>
        <w:t>Supported by:</w:t>
      </w:r>
    </w:p>
    <w:p w:rsidR="00BB427E" w:rsidRPr="00BB427E" w:rsidRDefault="00BB427E" w:rsidP="00BB427E">
      <w:pPr>
        <w:pStyle w:val="Header"/>
        <w:rPr>
          <w:rFonts w:ascii="Century Gothic" w:hAnsi="Century Gothic"/>
          <w:sz w:val="20"/>
          <w:szCs w:val="20"/>
        </w:rPr>
      </w:pPr>
      <w:r w:rsidRPr="00BB427E">
        <w:rPr>
          <w:rFonts w:ascii="Century Gothic" w:hAnsi="Century Gothic"/>
          <w:sz w:val="20"/>
          <w:szCs w:val="20"/>
        </w:rPr>
        <w:t>California Labor Federation</w:t>
      </w:r>
    </w:p>
    <w:p w:rsidR="00BB427E" w:rsidRPr="00BB427E" w:rsidRDefault="00BB427E" w:rsidP="00BB427E">
      <w:pPr>
        <w:pStyle w:val="Header"/>
        <w:rPr>
          <w:rFonts w:ascii="Century Gothic" w:hAnsi="Century Gothic"/>
          <w:sz w:val="20"/>
          <w:szCs w:val="20"/>
        </w:rPr>
      </w:pPr>
      <w:r w:rsidRPr="00BB427E">
        <w:rPr>
          <w:rFonts w:ascii="Century Gothic" w:hAnsi="Century Gothic"/>
          <w:sz w:val="20"/>
          <w:szCs w:val="20"/>
        </w:rPr>
        <w:t>Department of Insurance</w:t>
      </w:r>
    </w:p>
    <w:p w:rsidR="00BB427E" w:rsidRDefault="00BB427E" w:rsidP="00BB427E">
      <w:pPr>
        <w:pStyle w:val="Header"/>
        <w:rPr>
          <w:rFonts w:ascii="Century Gothic" w:hAnsi="Century Gothic"/>
          <w:sz w:val="20"/>
          <w:szCs w:val="20"/>
        </w:rPr>
      </w:pPr>
      <w:r w:rsidRPr="00BB427E">
        <w:rPr>
          <w:rFonts w:ascii="Century Gothic" w:hAnsi="Century Gothic"/>
          <w:sz w:val="20"/>
          <w:szCs w:val="20"/>
        </w:rPr>
        <w:t>Ella Baker Center for Human Rights</w:t>
      </w:r>
    </w:p>
    <w:p w:rsidR="00BB427E" w:rsidRDefault="00BB427E" w:rsidP="00BB427E">
      <w:pPr>
        <w:pStyle w:val="Header"/>
        <w:rPr>
          <w:rFonts w:ascii="Century Gothic" w:hAnsi="Century Gothic"/>
          <w:sz w:val="20"/>
          <w:szCs w:val="20"/>
        </w:rPr>
      </w:pPr>
    </w:p>
    <w:p w:rsidR="00BB427E" w:rsidRDefault="00BB427E" w:rsidP="00BB427E">
      <w:pPr>
        <w:pStyle w:val="Header"/>
        <w:rPr>
          <w:rFonts w:ascii="Century Gothic" w:hAnsi="Century Gothic"/>
          <w:sz w:val="20"/>
          <w:szCs w:val="20"/>
        </w:rPr>
      </w:pPr>
      <w:r>
        <w:rPr>
          <w:rFonts w:ascii="Century Gothic" w:hAnsi="Century Gothic"/>
          <w:sz w:val="20"/>
          <w:szCs w:val="20"/>
        </w:rPr>
        <w:t xml:space="preserve">Opposed by: </w:t>
      </w:r>
    </w:p>
    <w:p w:rsidR="00BB427E" w:rsidRPr="00525A85" w:rsidRDefault="00BB427E" w:rsidP="00BB427E">
      <w:pPr>
        <w:pStyle w:val="Header"/>
        <w:rPr>
          <w:rFonts w:ascii="Century Gothic" w:hAnsi="Century Gothic"/>
          <w:sz w:val="20"/>
          <w:szCs w:val="20"/>
        </w:rPr>
      </w:pPr>
      <w:r>
        <w:rPr>
          <w:rFonts w:ascii="Century Gothic" w:hAnsi="Century Gothic"/>
          <w:sz w:val="20"/>
          <w:szCs w:val="20"/>
        </w:rPr>
        <w:t>None on record</w:t>
      </w:r>
      <w:bookmarkStart w:id="0" w:name="_GoBack"/>
      <w:bookmarkEnd w:id="0"/>
    </w:p>
    <w:sectPr w:rsidR="00BB427E" w:rsidRPr="00525A85" w:rsidSect="0067316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C9" w:rsidRDefault="008A73C9" w:rsidP="00984E5C">
      <w:pPr>
        <w:spacing w:after="0" w:line="240" w:lineRule="auto"/>
      </w:pPr>
      <w:r>
        <w:separator/>
      </w:r>
    </w:p>
  </w:endnote>
  <w:endnote w:type="continuationSeparator" w:id="0">
    <w:p w:rsidR="008A73C9" w:rsidRDefault="008A73C9" w:rsidP="0098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16" w:rsidRDefault="0073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784177"/>
      <w:docPartObj>
        <w:docPartGallery w:val="Page Numbers (Bottom of Page)"/>
        <w:docPartUnique/>
      </w:docPartObj>
    </w:sdtPr>
    <w:sdtEndPr/>
    <w:sdtContent>
      <w:sdt>
        <w:sdtPr>
          <w:id w:val="777369410"/>
          <w:docPartObj>
            <w:docPartGallery w:val="Page Numbers (Top of Page)"/>
            <w:docPartUnique/>
          </w:docPartObj>
        </w:sdtPr>
        <w:sdtEndPr/>
        <w:sdtContent>
          <w:p w:rsidR="00673165" w:rsidRDefault="00673165">
            <w:pPr>
              <w:pStyle w:val="Footer"/>
              <w:jc w:val="right"/>
            </w:pPr>
            <w:r w:rsidRPr="00673165">
              <w:rPr>
                <w:rFonts w:ascii="Century Gothic" w:hAnsi="Century Gothic"/>
              </w:rPr>
              <w:t xml:space="preserve">Page </w:t>
            </w:r>
            <w:r w:rsidRPr="00673165">
              <w:rPr>
                <w:rFonts w:ascii="Century Gothic" w:hAnsi="Century Gothic"/>
                <w:b/>
                <w:bCs/>
                <w:sz w:val="24"/>
                <w:szCs w:val="24"/>
              </w:rPr>
              <w:fldChar w:fldCharType="begin"/>
            </w:r>
            <w:r w:rsidRPr="00673165">
              <w:rPr>
                <w:rFonts w:ascii="Century Gothic" w:hAnsi="Century Gothic"/>
                <w:b/>
                <w:bCs/>
              </w:rPr>
              <w:instrText xml:space="preserve"> PAGE </w:instrText>
            </w:r>
            <w:r w:rsidRPr="00673165">
              <w:rPr>
                <w:rFonts w:ascii="Century Gothic" w:hAnsi="Century Gothic"/>
                <w:b/>
                <w:bCs/>
                <w:sz w:val="24"/>
                <w:szCs w:val="24"/>
              </w:rPr>
              <w:fldChar w:fldCharType="separate"/>
            </w:r>
            <w:r w:rsidR="00E00484">
              <w:rPr>
                <w:rFonts w:ascii="Century Gothic" w:hAnsi="Century Gothic"/>
                <w:b/>
                <w:bCs/>
                <w:noProof/>
              </w:rPr>
              <w:t>2</w:t>
            </w:r>
            <w:r w:rsidRPr="00673165">
              <w:rPr>
                <w:rFonts w:ascii="Century Gothic" w:hAnsi="Century Gothic"/>
                <w:b/>
                <w:bCs/>
                <w:sz w:val="24"/>
                <w:szCs w:val="24"/>
              </w:rPr>
              <w:fldChar w:fldCharType="end"/>
            </w:r>
            <w:r w:rsidRPr="00673165">
              <w:rPr>
                <w:rFonts w:ascii="Century Gothic" w:hAnsi="Century Gothic"/>
              </w:rPr>
              <w:t xml:space="preserve"> of </w:t>
            </w:r>
            <w:r w:rsidRPr="00673165">
              <w:rPr>
                <w:rFonts w:ascii="Century Gothic" w:hAnsi="Century Gothic"/>
                <w:b/>
                <w:bCs/>
                <w:sz w:val="24"/>
                <w:szCs w:val="24"/>
              </w:rPr>
              <w:fldChar w:fldCharType="begin"/>
            </w:r>
            <w:r w:rsidRPr="00673165">
              <w:rPr>
                <w:rFonts w:ascii="Century Gothic" w:hAnsi="Century Gothic"/>
                <w:b/>
                <w:bCs/>
              </w:rPr>
              <w:instrText xml:space="preserve"> NUMPAGES  </w:instrText>
            </w:r>
            <w:r w:rsidRPr="00673165">
              <w:rPr>
                <w:rFonts w:ascii="Century Gothic" w:hAnsi="Century Gothic"/>
                <w:b/>
                <w:bCs/>
                <w:sz w:val="24"/>
                <w:szCs w:val="24"/>
              </w:rPr>
              <w:fldChar w:fldCharType="separate"/>
            </w:r>
            <w:r w:rsidR="00E00484">
              <w:rPr>
                <w:rFonts w:ascii="Century Gothic" w:hAnsi="Century Gothic"/>
                <w:b/>
                <w:bCs/>
                <w:noProof/>
              </w:rPr>
              <w:t>2</w:t>
            </w:r>
            <w:r w:rsidRPr="00673165">
              <w:rPr>
                <w:rFonts w:ascii="Century Gothic" w:hAnsi="Century Gothic"/>
                <w:b/>
                <w:bCs/>
                <w:sz w:val="24"/>
                <w:szCs w:val="24"/>
              </w:rPr>
              <w:fldChar w:fldCharType="end"/>
            </w:r>
          </w:p>
        </w:sdtContent>
      </w:sdt>
    </w:sdtContent>
  </w:sdt>
  <w:p w:rsidR="00673165" w:rsidRDefault="0067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611887464"/>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rsidR="00673165" w:rsidRPr="00673165" w:rsidRDefault="00673165">
            <w:pPr>
              <w:pStyle w:val="Footer"/>
              <w:jc w:val="right"/>
              <w:rPr>
                <w:rFonts w:ascii="Century Gothic" w:hAnsi="Century Gothic"/>
              </w:rPr>
            </w:pPr>
            <w:r w:rsidRPr="00673165">
              <w:rPr>
                <w:rFonts w:ascii="Century Gothic" w:hAnsi="Century Gothic"/>
              </w:rPr>
              <w:t xml:space="preserve">Page </w:t>
            </w:r>
            <w:r w:rsidRPr="00673165">
              <w:rPr>
                <w:rFonts w:ascii="Century Gothic" w:hAnsi="Century Gothic"/>
                <w:b/>
                <w:bCs/>
                <w:sz w:val="24"/>
                <w:szCs w:val="24"/>
              </w:rPr>
              <w:fldChar w:fldCharType="begin"/>
            </w:r>
            <w:r w:rsidRPr="00673165">
              <w:rPr>
                <w:rFonts w:ascii="Century Gothic" w:hAnsi="Century Gothic"/>
                <w:b/>
                <w:bCs/>
              </w:rPr>
              <w:instrText xml:space="preserve"> PAGE </w:instrText>
            </w:r>
            <w:r w:rsidRPr="00673165">
              <w:rPr>
                <w:rFonts w:ascii="Century Gothic" w:hAnsi="Century Gothic"/>
                <w:b/>
                <w:bCs/>
                <w:sz w:val="24"/>
                <w:szCs w:val="24"/>
              </w:rPr>
              <w:fldChar w:fldCharType="separate"/>
            </w:r>
            <w:r w:rsidR="00E00484">
              <w:rPr>
                <w:rFonts w:ascii="Century Gothic" w:hAnsi="Century Gothic"/>
                <w:b/>
                <w:bCs/>
                <w:noProof/>
              </w:rPr>
              <w:t>1</w:t>
            </w:r>
            <w:r w:rsidRPr="00673165">
              <w:rPr>
                <w:rFonts w:ascii="Century Gothic" w:hAnsi="Century Gothic"/>
                <w:b/>
                <w:bCs/>
                <w:sz w:val="24"/>
                <w:szCs w:val="24"/>
              </w:rPr>
              <w:fldChar w:fldCharType="end"/>
            </w:r>
            <w:r w:rsidRPr="00673165">
              <w:rPr>
                <w:rFonts w:ascii="Century Gothic" w:hAnsi="Century Gothic"/>
              </w:rPr>
              <w:t xml:space="preserve"> of </w:t>
            </w:r>
            <w:r w:rsidRPr="00673165">
              <w:rPr>
                <w:rFonts w:ascii="Century Gothic" w:hAnsi="Century Gothic"/>
                <w:b/>
                <w:bCs/>
                <w:sz w:val="24"/>
                <w:szCs w:val="24"/>
              </w:rPr>
              <w:fldChar w:fldCharType="begin"/>
            </w:r>
            <w:r w:rsidRPr="00673165">
              <w:rPr>
                <w:rFonts w:ascii="Century Gothic" w:hAnsi="Century Gothic"/>
                <w:b/>
                <w:bCs/>
              </w:rPr>
              <w:instrText xml:space="preserve"> NUMPAGES  </w:instrText>
            </w:r>
            <w:r w:rsidRPr="00673165">
              <w:rPr>
                <w:rFonts w:ascii="Century Gothic" w:hAnsi="Century Gothic"/>
                <w:b/>
                <w:bCs/>
                <w:sz w:val="24"/>
                <w:szCs w:val="24"/>
              </w:rPr>
              <w:fldChar w:fldCharType="separate"/>
            </w:r>
            <w:r w:rsidR="00E00484">
              <w:rPr>
                <w:rFonts w:ascii="Century Gothic" w:hAnsi="Century Gothic"/>
                <w:b/>
                <w:bCs/>
                <w:noProof/>
              </w:rPr>
              <w:t>2</w:t>
            </w:r>
            <w:r w:rsidRPr="00673165">
              <w:rPr>
                <w:rFonts w:ascii="Century Gothic" w:hAnsi="Century Gothic"/>
                <w:b/>
                <w:bCs/>
                <w:sz w:val="24"/>
                <w:szCs w:val="24"/>
              </w:rPr>
              <w:fldChar w:fldCharType="end"/>
            </w:r>
          </w:p>
        </w:sdtContent>
      </w:sdt>
    </w:sdtContent>
  </w:sdt>
  <w:p w:rsidR="008F22BE" w:rsidRPr="00673165" w:rsidRDefault="008F22BE">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C9" w:rsidRDefault="008A73C9" w:rsidP="00984E5C">
      <w:pPr>
        <w:spacing w:after="0" w:line="240" w:lineRule="auto"/>
      </w:pPr>
      <w:r>
        <w:separator/>
      </w:r>
    </w:p>
  </w:footnote>
  <w:footnote w:type="continuationSeparator" w:id="0">
    <w:p w:rsidR="008A73C9" w:rsidRDefault="008A73C9" w:rsidP="0098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16" w:rsidRDefault="00734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16" w:rsidRDefault="00734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EB" w:rsidRPr="006F12C6" w:rsidRDefault="00E63BEB" w:rsidP="00E63BEB">
    <w:pPr>
      <w:rPr>
        <w:rFonts w:ascii="Century Gothic" w:hAnsi="Century Gothic"/>
        <w:b/>
        <w:sz w:val="32"/>
        <w:szCs w:val="32"/>
      </w:rPr>
    </w:pPr>
    <w:r w:rsidRPr="006F12C6">
      <w:rPr>
        <w:rFonts w:ascii="Verdana" w:hAnsi="Verdana"/>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854075" cy="809625"/>
          <wp:effectExtent l="0" t="0" r="3175" b="9525"/>
          <wp:wrapTight wrapText="bothSides">
            <wp:wrapPolygon edited="0">
              <wp:start x="0" y="0"/>
              <wp:lineTo x="0" y="21346"/>
              <wp:lineTo x="21199" y="21346"/>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809625"/>
                  </a:xfrm>
                  <a:prstGeom prst="rect">
                    <a:avLst/>
                  </a:prstGeom>
                  <a:noFill/>
                  <a:ln>
                    <a:noFill/>
                  </a:ln>
                </pic:spPr>
              </pic:pic>
            </a:graphicData>
          </a:graphic>
        </wp:anchor>
      </w:drawing>
    </w:r>
    <w:r w:rsidRPr="006F12C6">
      <w:rPr>
        <w:rFonts w:ascii="Century Gothic" w:hAnsi="Century Gothic"/>
        <w:b/>
        <w:sz w:val="32"/>
        <w:szCs w:val="32"/>
      </w:rPr>
      <w:t>State Legislation Proposal Form</w:t>
    </w:r>
  </w:p>
  <w:p w:rsidR="00E63BEB" w:rsidRPr="000E1998" w:rsidRDefault="00525A85" w:rsidP="00894AEF">
    <w:pPr>
      <w:rPr>
        <w:rFonts w:ascii="Century Gothic" w:hAnsi="Century Gothic"/>
        <w:sz w:val="20"/>
        <w:szCs w:val="20"/>
      </w:rPr>
    </w:pPr>
    <w:r w:rsidRPr="00525A85">
      <w:rPr>
        <w:rFonts w:ascii="Century Gothic" w:hAnsi="Century Gothic"/>
        <w:sz w:val="20"/>
        <w:szCs w:val="20"/>
      </w:rPr>
      <w:t xml:space="preserve">This form should be used to submit legislative proposals for consideration by the State Legislation Committee. </w:t>
    </w:r>
    <w:r w:rsidR="00E1613C">
      <w:rPr>
        <w:rFonts w:ascii="Century Gothic" w:hAnsi="Century Gothic"/>
        <w:sz w:val="20"/>
        <w:szCs w:val="20"/>
      </w:rPr>
      <w:t xml:space="preserve">We ask that you keep your submissions under two pages. </w:t>
    </w:r>
    <w:r w:rsidRPr="00525A85">
      <w:rPr>
        <w:rFonts w:ascii="Century Gothic" w:hAnsi="Century Gothic"/>
        <w:sz w:val="20"/>
        <w:szCs w:val="20"/>
      </w:rPr>
      <w:t>To be included at an upcoming meeting, proposals should be submitte</w:t>
    </w:r>
    <w:r w:rsidR="00BA35B6">
      <w:rPr>
        <w:rFonts w:ascii="Century Gothic" w:hAnsi="Century Gothic"/>
        <w:sz w:val="20"/>
        <w:szCs w:val="20"/>
      </w:rPr>
      <w:t>d by 5:00pm on the Wednesday before the meeting</w:t>
    </w:r>
    <w:r w:rsidR="000E1998">
      <w:rPr>
        <w:rFonts w:ascii="Century Gothic" w:hAnsi="Century Gothic"/>
        <w:sz w:val="20"/>
        <w:szCs w:val="20"/>
      </w:rPr>
      <w:t xml:space="preserve">. </w:t>
    </w:r>
    <w:r w:rsidRPr="00525A85">
      <w:rPr>
        <w:rFonts w:ascii="Century Gothic" w:hAnsi="Century Gothic"/>
        <w:sz w:val="20"/>
        <w:szCs w:val="20"/>
      </w:rPr>
      <w:t>Before submission, proposals must be reviewed and approved by the Department Head or Commission.</w:t>
    </w:r>
    <w:r w:rsidR="000E1998">
      <w:rPr>
        <w:rFonts w:ascii="Century Gothic" w:hAnsi="Century Gothic"/>
        <w:sz w:val="20"/>
        <w:szCs w:val="20"/>
      </w:rPr>
      <w:t xml:space="preserve"> </w:t>
    </w:r>
    <w:r w:rsidRPr="000E1998">
      <w:rPr>
        <w:rFonts w:ascii="Century Gothic" w:hAnsi="Century Gothic"/>
        <w:sz w:val="20"/>
        <w:szCs w:val="20"/>
      </w:rPr>
      <w:t xml:space="preserve">Please send completed forms to Eddie McCaffrey in the Mayor’s Office at </w:t>
    </w:r>
    <w:hyperlink r:id="rId2" w:history="1">
      <w:r w:rsidRPr="000E1998">
        <w:rPr>
          <w:rStyle w:val="Hyperlink"/>
          <w:rFonts w:ascii="Century Gothic" w:hAnsi="Century Gothic"/>
          <w:sz w:val="20"/>
          <w:szCs w:val="20"/>
        </w:rPr>
        <w:t>edward.mccaffrey@sfgov.org</w:t>
      </w:r>
    </w:hyperlink>
    <w:r w:rsidR="00BA35B6">
      <w:rPr>
        <w:rFonts w:ascii="Century Gothic" w:hAnsi="Century Gothic"/>
        <w:sz w:val="20"/>
        <w:szCs w:val="20"/>
      </w:rPr>
      <w:t xml:space="preserve"> and cc Rebecca Peacock at </w:t>
    </w:r>
    <w:hyperlink r:id="rId3" w:history="1">
      <w:r w:rsidR="00BA35B6" w:rsidRPr="007F3975">
        <w:rPr>
          <w:rStyle w:val="Hyperlink"/>
          <w:rFonts w:ascii="Century Gothic" w:hAnsi="Century Gothic"/>
          <w:sz w:val="20"/>
          <w:szCs w:val="20"/>
        </w:rPr>
        <w:t>Rebecca.peacock@sfgov.org</w:t>
      </w:r>
    </w:hyperlink>
    <w:r w:rsidR="00BA35B6">
      <w:rPr>
        <w:rFonts w:ascii="Century Gothic" w:hAnsi="Century Gothic"/>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C"/>
    <w:rsid w:val="00096333"/>
    <w:rsid w:val="000E1998"/>
    <w:rsid w:val="000E2482"/>
    <w:rsid w:val="001F5EFA"/>
    <w:rsid w:val="002A285B"/>
    <w:rsid w:val="002D5B3A"/>
    <w:rsid w:val="00313FAA"/>
    <w:rsid w:val="00334EE9"/>
    <w:rsid w:val="00370C5C"/>
    <w:rsid w:val="004D05D8"/>
    <w:rsid w:val="005139A5"/>
    <w:rsid w:val="00525A85"/>
    <w:rsid w:val="00673165"/>
    <w:rsid w:val="006A52A0"/>
    <w:rsid w:val="006C70B9"/>
    <w:rsid w:val="006E71A9"/>
    <w:rsid w:val="006F12C6"/>
    <w:rsid w:val="00734416"/>
    <w:rsid w:val="00780FD7"/>
    <w:rsid w:val="007E6E0B"/>
    <w:rsid w:val="00822310"/>
    <w:rsid w:val="0084086A"/>
    <w:rsid w:val="00866096"/>
    <w:rsid w:val="00894AEF"/>
    <w:rsid w:val="008A73C9"/>
    <w:rsid w:val="008F22BE"/>
    <w:rsid w:val="00981A78"/>
    <w:rsid w:val="00984E5C"/>
    <w:rsid w:val="00992BF0"/>
    <w:rsid w:val="009B0736"/>
    <w:rsid w:val="00AA1B5F"/>
    <w:rsid w:val="00B131C9"/>
    <w:rsid w:val="00B27D44"/>
    <w:rsid w:val="00B46552"/>
    <w:rsid w:val="00BA35B6"/>
    <w:rsid w:val="00BB427E"/>
    <w:rsid w:val="00C2193A"/>
    <w:rsid w:val="00C55CD1"/>
    <w:rsid w:val="00CC58AC"/>
    <w:rsid w:val="00CF0A7E"/>
    <w:rsid w:val="00D40A54"/>
    <w:rsid w:val="00E00484"/>
    <w:rsid w:val="00E1613C"/>
    <w:rsid w:val="00E63BEB"/>
    <w:rsid w:val="00ED3607"/>
    <w:rsid w:val="00FA0D0B"/>
    <w:rsid w:val="00FA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3377BA"/>
  <w15:chartTrackingRefBased/>
  <w15:docId w15:val="{9382A803-6C76-41BF-8496-6A668F6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5C"/>
  </w:style>
  <w:style w:type="paragraph" w:styleId="Footer">
    <w:name w:val="footer"/>
    <w:basedOn w:val="Normal"/>
    <w:link w:val="FooterChar"/>
    <w:uiPriority w:val="99"/>
    <w:unhideWhenUsed/>
    <w:rsid w:val="009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5C"/>
  </w:style>
  <w:style w:type="table" w:styleId="TableGrid">
    <w:name w:val="Table Grid"/>
    <w:basedOn w:val="TableNormal"/>
    <w:uiPriority w:val="39"/>
    <w:rsid w:val="0098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84E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C58AC"/>
    <w:rPr>
      <w:color w:val="0563C1" w:themeColor="hyperlink"/>
      <w:u w:val="single"/>
    </w:rPr>
  </w:style>
  <w:style w:type="paragraph" w:styleId="BalloonText">
    <w:name w:val="Balloon Text"/>
    <w:basedOn w:val="Normal"/>
    <w:link w:val="BalloonTextChar"/>
    <w:uiPriority w:val="99"/>
    <w:semiHidden/>
    <w:unhideWhenUsed/>
    <w:rsid w:val="00E1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Peacock@sfgov.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Rebecca.peacock@sfgov.org" TargetMode="External"/><Relationship Id="rId2" Type="http://schemas.openxmlformats.org/officeDocument/2006/relationships/hyperlink" Target="mailto:edward.mccaffrey@sfgov.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Peacock</dc:creator>
  <cp:keywords/>
  <dc:description/>
  <cp:lastModifiedBy>Peacock, Rebecca (MYR)</cp:lastModifiedBy>
  <cp:revision>3</cp:revision>
  <cp:lastPrinted>2019-01-30T02:06:00Z</cp:lastPrinted>
  <dcterms:created xsi:type="dcterms:W3CDTF">2019-01-31T17:07:00Z</dcterms:created>
  <dcterms:modified xsi:type="dcterms:W3CDTF">2020-06-23T18:13:00Z</dcterms:modified>
</cp:coreProperties>
</file>