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EBF8B" w14:textId="77777777" w:rsidR="0001595F" w:rsidRPr="0001595F" w:rsidRDefault="0001595F" w:rsidP="0001595F">
      <w:pPr>
        <w:autoSpaceDE w:val="0"/>
        <w:autoSpaceDN w:val="0"/>
        <w:adjustRightInd w:val="0"/>
        <w:spacing w:after="0" w:line="240" w:lineRule="auto"/>
        <w:ind w:left="1440" w:hanging="1080"/>
        <w:jc w:val="center"/>
        <w:rPr>
          <w:rFonts w:cs="Calibri"/>
          <w:b/>
          <w:bCs/>
          <w:sz w:val="28"/>
          <w:szCs w:val="28"/>
        </w:rPr>
      </w:pPr>
      <w:r w:rsidRPr="0001595F">
        <w:rPr>
          <w:rFonts w:cs="Calibri"/>
          <w:b/>
          <w:bCs/>
          <w:sz w:val="28"/>
          <w:szCs w:val="28"/>
        </w:rPr>
        <w:t>Successes of Mayor’s Task Force on Anti-Human Trafficking</w:t>
      </w:r>
    </w:p>
    <w:p w14:paraId="06372BB7" w14:textId="77777777" w:rsidR="0001595F" w:rsidRPr="0001595F" w:rsidRDefault="0001595F" w:rsidP="0001595F">
      <w:pPr>
        <w:autoSpaceDE w:val="0"/>
        <w:autoSpaceDN w:val="0"/>
        <w:adjustRightInd w:val="0"/>
        <w:spacing w:after="0" w:line="240" w:lineRule="auto"/>
        <w:rPr>
          <w:rFonts w:cs="Calibri"/>
        </w:rPr>
      </w:pPr>
    </w:p>
    <w:p w14:paraId="0D94B478" w14:textId="30B99135" w:rsidR="0001595F" w:rsidRPr="0001595F" w:rsidRDefault="000E75CD" w:rsidP="0001595F">
      <w:pPr>
        <w:ind w:left="-90"/>
        <w:contextualSpacing/>
        <w:rPr>
          <w:rFonts w:cs="Calibri"/>
        </w:rPr>
      </w:pPr>
      <w:r>
        <w:rPr>
          <w:rFonts w:cs="Calibri"/>
        </w:rPr>
        <w:t>S</w:t>
      </w:r>
      <w:r w:rsidR="00D030A7">
        <w:rPr>
          <w:rFonts w:cs="Calibri"/>
        </w:rPr>
        <w:t>ince 2013</w:t>
      </w:r>
      <w:r w:rsidR="0001595F" w:rsidRPr="0001595F">
        <w:rPr>
          <w:rFonts w:cs="Calibri"/>
        </w:rPr>
        <w:t>, the Mayor’s Task Force on Anti-Human Trafficking</w:t>
      </w:r>
      <w:r w:rsidR="0001595F">
        <w:rPr>
          <w:rFonts w:cs="Calibri"/>
        </w:rPr>
        <w:t>, staffed by the Department on the Status of Women,</w:t>
      </w:r>
      <w:r w:rsidR="0001595F" w:rsidRPr="0001595F">
        <w:rPr>
          <w:rFonts w:cs="Calibri"/>
        </w:rPr>
        <w:t xml:space="preserve"> has achieved several notable successes.  Some of the achievements listed below were direct results of Task Force advocacy, and in others, the Task Force laid the ground work that helped members of the Task Force ultimately achieve the outcome.</w:t>
      </w:r>
    </w:p>
    <w:p w14:paraId="1CDC20C9" w14:textId="77777777" w:rsidR="0001595F" w:rsidRPr="0001595F" w:rsidRDefault="0001595F" w:rsidP="0001595F">
      <w:pPr>
        <w:ind w:left="-90"/>
        <w:contextualSpacing/>
        <w:rPr>
          <w:rFonts w:cs="Calibri"/>
        </w:rPr>
      </w:pPr>
    </w:p>
    <w:p w14:paraId="43E2738B" w14:textId="77777777" w:rsidR="0001595F" w:rsidRPr="0001595F" w:rsidRDefault="0001595F" w:rsidP="00D030A7">
      <w:pPr>
        <w:ind w:left="360" w:hanging="360"/>
        <w:contextualSpacing/>
        <w:rPr>
          <w:rFonts w:cs="Calibri"/>
          <w:b/>
          <w:color w:val="002060"/>
        </w:rPr>
      </w:pPr>
      <w:r w:rsidRPr="0001595F">
        <w:rPr>
          <w:rFonts w:cs="Calibri"/>
          <w:b/>
          <w:color w:val="002060"/>
        </w:rPr>
        <w:t>New Funding/New Programs to Address Gaps in Services</w:t>
      </w:r>
    </w:p>
    <w:p w14:paraId="617781FF" w14:textId="77777777" w:rsidR="0001595F" w:rsidRPr="0001595F" w:rsidRDefault="0001595F" w:rsidP="00D030A7">
      <w:pPr>
        <w:numPr>
          <w:ilvl w:val="0"/>
          <w:numId w:val="27"/>
        </w:numPr>
        <w:ind w:left="360"/>
        <w:contextualSpacing/>
        <w:rPr>
          <w:rFonts w:cs="Calibri"/>
          <w:color w:val="002060"/>
        </w:rPr>
      </w:pPr>
      <w:r w:rsidRPr="0001595F">
        <w:rPr>
          <w:rFonts w:cs="Calibri"/>
          <w:color w:val="000000"/>
        </w:rPr>
        <w:t>24 Hour Response to Commercially, Sexually Exploited Youth: Identified as a need by Task Force in 2014; funded as a pilot in 2015; fully funded at Huckleberry Youth Programs in 2016, with program launched in March 2016.</w:t>
      </w:r>
    </w:p>
    <w:p w14:paraId="40C3000F" w14:textId="77777777" w:rsidR="0001595F" w:rsidRPr="0001595F" w:rsidRDefault="0001595F" w:rsidP="00D030A7">
      <w:pPr>
        <w:numPr>
          <w:ilvl w:val="0"/>
          <w:numId w:val="27"/>
        </w:numPr>
        <w:ind w:left="360"/>
        <w:contextualSpacing/>
        <w:rPr>
          <w:rFonts w:cs="Calibri"/>
          <w:color w:val="002060"/>
        </w:rPr>
      </w:pPr>
      <w:r w:rsidRPr="0001595F">
        <w:rPr>
          <w:rFonts w:cs="Calibri"/>
          <w:color w:val="000000"/>
        </w:rPr>
        <w:t>Bilingual health workers at Department of Public Health to do outreach to workers vulnerable to labor exploitation in massage parlors and restaurants.  Task Force identified needs for better outreach to workers in 2014 and funding approved in 2015 and staff hired in 2016.</w:t>
      </w:r>
    </w:p>
    <w:p w14:paraId="08FEE146" w14:textId="45C98A1C" w:rsidR="0001595F" w:rsidRPr="0001595F" w:rsidRDefault="0001595F" w:rsidP="00D030A7">
      <w:pPr>
        <w:numPr>
          <w:ilvl w:val="0"/>
          <w:numId w:val="27"/>
        </w:numPr>
        <w:ind w:left="360"/>
        <w:contextualSpacing/>
        <w:rPr>
          <w:rFonts w:cs="Calibri"/>
          <w:color w:val="002060"/>
        </w:rPr>
      </w:pPr>
      <w:r w:rsidRPr="0001595F">
        <w:rPr>
          <w:rFonts w:cs="Calibri"/>
          <w:color w:val="000000"/>
        </w:rPr>
        <w:t>In 2014 and 2015, the Department on the Status of Women expanded its Violence Against Women</w:t>
      </w:r>
      <w:r w:rsidR="00D030A7">
        <w:rPr>
          <w:rFonts w:cs="Calibri"/>
          <w:color w:val="000000"/>
        </w:rPr>
        <w:t xml:space="preserve"> Intervention &amp; Prevention grants</w:t>
      </w:r>
      <w:r w:rsidRPr="0001595F">
        <w:rPr>
          <w:rFonts w:cs="Calibri"/>
          <w:color w:val="000000"/>
        </w:rPr>
        <w:t xml:space="preserve"> funding to include services for various categories of trafficking survivors or persons vulnerable to trafficking.  The Department’s partic</w:t>
      </w:r>
      <w:r w:rsidR="00D030A7">
        <w:rPr>
          <w:rFonts w:cs="Calibri"/>
          <w:color w:val="000000"/>
        </w:rPr>
        <w:t>ipation in the Task Force resulted in new focus areas, including</w:t>
      </w:r>
      <w:r w:rsidRPr="0001595F">
        <w:rPr>
          <w:rFonts w:cs="Calibri"/>
          <w:color w:val="000000"/>
        </w:rPr>
        <w:t xml:space="preserve"> LGBT youth in the sex trades; vocational programming for trafficking survivors; the Bad Date Line for sex workers who are victimized; and case management for women leaving prostitution.</w:t>
      </w:r>
    </w:p>
    <w:p w14:paraId="3514E8D0" w14:textId="77777777" w:rsidR="0001595F" w:rsidRPr="0001595F" w:rsidRDefault="0001595F" w:rsidP="00D030A7">
      <w:pPr>
        <w:ind w:left="360" w:hanging="360"/>
        <w:contextualSpacing/>
        <w:rPr>
          <w:rFonts w:cs="Calibri"/>
          <w:b/>
          <w:color w:val="002060"/>
        </w:rPr>
      </w:pPr>
    </w:p>
    <w:p w14:paraId="7E3437BE" w14:textId="32B3F92E" w:rsidR="0001595F" w:rsidRPr="0001595F" w:rsidRDefault="0001595F" w:rsidP="00D030A7">
      <w:pPr>
        <w:ind w:left="360" w:hanging="360"/>
        <w:contextualSpacing/>
        <w:rPr>
          <w:rFonts w:cs="Calibri"/>
          <w:b/>
          <w:color w:val="002060"/>
        </w:rPr>
      </w:pPr>
      <w:r w:rsidRPr="0001595F">
        <w:rPr>
          <w:rFonts w:cs="Calibri"/>
          <w:b/>
          <w:color w:val="002060"/>
        </w:rPr>
        <w:t>Prevention</w:t>
      </w:r>
    </w:p>
    <w:p w14:paraId="344B7F77" w14:textId="77777777" w:rsidR="0001595F" w:rsidRPr="0001595F" w:rsidRDefault="0001595F" w:rsidP="00D030A7">
      <w:pPr>
        <w:numPr>
          <w:ilvl w:val="0"/>
          <w:numId w:val="32"/>
        </w:numPr>
        <w:ind w:left="360"/>
        <w:contextualSpacing/>
        <w:rPr>
          <w:rFonts w:cs="Calibri"/>
          <w:b/>
          <w:color w:val="002060"/>
        </w:rPr>
      </w:pPr>
      <w:r w:rsidRPr="0001595F">
        <w:rPr>
          <w:rFonts w:cs="Calibri"/>
        </w:rPr>
        <w:t>Supervisor Tang carried a local ordinance in 2015 that strengthened licensing and enforcement at massage establishments in an effort to minimize trafficking at these businesses.  The ordinance restricted penalties to business owners and not those working there, in an effort to avoid penalizing possible trafficking victims, a provision suggested by certain members of the Task Force.</w:t>
      </w:r>
    </w:p>
    <w:p w14:paraId="4F65D36B" w14:textId="69C456ED" w:rsidR="0001595F" w:rsidRPr="0001595F" w:rsidRDefault="0001595F" w:rsidP="00D030A7">
      <w:pPr>
        <w:numPr>
          <w:ilvl w:val="0"/>
          <w:numId w:val="32"/>
        </w:numPr>
        <w:ind w:left="360"/>
        <w:contextualSpacing/>
        <w:rPr>
          <w:rFonts w:cs="Calibri"/>
          <w:color w:val="002060"/>
        </w:rPr>
      </w:pPr>
      <w:r w:rsidRPr="0001595F">
        <w:rPr>
          <w:rFonts w:cs="Calibri"/>
          <w:color w:val="000000"/>
        </w:rPr>
        <w:t>With input from community</w:t>
      </w:r>
      <w:r w:rsidR="00551717">
        <w:rPr>
          <w:rFonts w:cs="Calibri"/>
          <w:color w:val="000000"/>
        </w:rPr>
        <w:t>-</w:t>
      </w:r>
      <w:bookmarkStart w:id="0" w:name="_GoBack"/>
      <w:bookmarkEnd w:id="0"/>
      <w:r w:rsidRPr="0001595F">
        <w:rPr>
          <w:rFonts w:cs="Calibri"/>
          <w:color w:val="000000"/>
        </w:rPr>
        <w:t xml:space="preserve">based organizations, the San Francisco Unified School District developed a segment of its Healthy Relationship Curriculum to include information for students on human trafficking.  </w:t>
      </w:r>
    </w:p>
    <w:p w14:paraId="106C8BE3" w14:textId="77777777" w:rsidR="0001595F" w:rsidRPr="0001595F" w:rsidRDefault="0001595F" w:rsidP="00D030A7">
      <w:pPr>
        <w:ind w:left="360" w:hanging="360"/>
        <w:contextualSpacing/>
        <w:rPr>
          <w:rFonts w:cs="Calibri"/>
          <w:b/>
          <w:color w:val="002060"/>
        </w:rPr>
      </w:pPr>
    </w:p>
    <w:p w14:paraId="2F3F390A" w14:textId="102373A0" w:rsidR="0001595F" w:rsidRPr="0001595F" w:rsidRDefault="0001595F" w:rsidP="00D030A7">
      <w:pPr>
        <w:contextualSpacing/>
        <w:rPr>
          <w:rFonts w:cs="Calibri"/>
          <w:b/>
          <w:color w:val="002060"/>
        </w:rPr>
      </w:pPr>
      <w:r w:rsidRPr="0001595F">
        <w:rPr>
          <w:rFonts w:cs="Calibri"/>
          <w:b/>
          <w:color w:val="002060"/>
        </w:rPr>
        <w:t>Improve Response</w:t>
      </w:r>
    </w:p>
    <w:p w14:paraId="277C099A" w14:textId="77777777" w:rsidR="0001595F" w:rsidRPr="0001595F" w:rsidRDefault="0001595F" w:rsidP="00D030A7">
      <w:pPr>
        <w:numPr>
          <w:ilvl w:val="0"/>
          <w:numId w:val="29"/>
        </w:numPr>
        <w:ind w:left="360"/>
        <w:contextualSpacing/>
        <w:rPr>
          <w:rFonts w:cs="Calibri"/>
          <w:b/>
          <w:color w:val="002060"/>
        </w:rPr>
      </w:pPr>
      <w:r w:rsidRPr="0001595F">
        <w:rPr>
          <w:rFonts w:cs="Calibri"/>
          <w:color w:val="0D0D0D"/>
        </w:rPr>
        <w:t>Family and Children’s Services opted into the state Department of Social Services program for Commercially, Sexually Exploited Children, and led a local steering committee to develop an Interagency Commercially Sexually Exploited Children Protocol, signed by 11 agencies.  The protocol prioritizes the Child Welfare System as the primary system for responding to commercially, sexually exploited children, and involves the peer advocates at Huckleberry Youth Programs in immediate response to identified youth.</w:t>
      </w:r>
    </w:p>
    <w:p w14:paraId="5C893209" w14:textId="77777777" w:rsidR="0001595F" w:rsidRPr="0001595F" w:rsidRDefault="0001595F" w:rsidP="00D030A7">
      <w:pPr>
        <w:numPr>
          <w:ilvl w:val="0"/>
          <w:numId w:val="29"/>
        </w:numPr>
        <w:ind w:left="360"/>
        <w:contextualSpacing/>
        <w:rPr>
          <w:rFonts w:cs="Calibri"/>
          <w:b/>
          <w:color w:val="002060"/>
        </w:rPr>
      </w:pPr>
      <w:r w:rsidRPr="0001595F">
        <w:rPr>
          <w:rFonts w:cs="Calibri"/>
          <w:color w:val="0D0D0D"/>
        </w:rPr>
        <w:t>The Sex Work and Policy Impact Committee worked with the Police Department and District Attorney’s Office to develop a Prioritizing Safety for Sex Worker Policy, which should be finalized in 2017.</w:t>
      </w:r>
    </w:p>
    <w:p w14:paraId="16515BFD" w14:textId="77777777" w:rsidR="0001595F" w:rsidRPr="0001595F" w:rsidRDefault="0001595F" w:rsidP="00D030A7">
      <w:pPr>
        <w:numPr>
          <w:ilvl w:val="0"/>
          <w:numId w:val="29"/>
        </w:numPr>
        <w:ind w:left="360"/>
        <w:contextualSpacing/>
        <w:rPr>
          <w:rFonts w:cs="Calibri"/>
          <w:b/>
          <w:color w:val="002060"/>
        </w:rPr>
      </w:pPr>
      <w:r w:rsidRPr="0001595F">
        <w:rPr>
          <w:rFonts w:cs="Calibri"/>
          <w:color w:val="0D0D0D"/>
        </w:rPr>
        <w:t>The Task Force created guidelines for City Departments to follow on exposing human trafficking victims to the media.  The City stopped allowing live video filming of massage inspections, which had led to exposure of persons in massage establishments without their permission.</w:t>
      </w:r>
    </w:p>
    <w:p w14:paraId="4A42AEC9" w14:textId="77777777" w:rsidR="0001595F" w:rsidRPr="0001595F" w:rsidRDefault="0001595F" w:rsidP="00D030A7">
      <w:pPr>
        <w:numPr>
          <w:ilvl w:val="0"/>
          <w:numId w:val="29"/>
        </w:numPr>
        <w:ind w:left="360"/>
        <w:contextualSpacing/>
        <w:rPr>
          <w:rFonts w:cs="Calibri"/>
          <w:b/>
          <w:color w:val="002060"/>
        </w:rPr>
      </w:pPr>
      <w:r w:rsidRPr="0001595F">
        <w:rPr>
          <w:rFonts w:cs="Calibri"/>
          <w:color w:val="0D0D0D"/>
        </w:rPr>
        <w:lastRenderedPageBreak/>
        <w:t>In 2014, the Task Force mapped out services for survivors of trafficking and created a handout on services in San Francisco.</w:t>
      </w:r>
    </w:p>
    <w:p w14:paraId="7B381F7F" w14:textId="77777777" w:rsidR="0001595F" w:rsidRPr="0001595F" w:rsidRDefault="0001595F" w:rsidP="00D030A7">
      <w:pPr>
        <w:numPr>
          <w:ilvl w:val="0"/>
          <w:numId w:val="29"/>
        </w:numPr>
        <w:ind w:left="360"/>
        <w:contextualSpacing/>
        <w:rPr>
          <w:rFonts w:cs="Calibri"/>
          <w:b/>
          <w:color w:val="002060"/>
        </w:rPr>
      </w:pPr>
      <w:r w:rsidRPr="0001595F">
        <w:rPr>
          <w:rFonts w:cs="Calibri"/>
          <w:color w:val="0D0D0D"/>
        </w:rPr>
        <w:t xml:space="preserve">In 2016, the Task Force created a feedback document on the video used by POST to train law enforcement offices in California on human </w:t>
      </w:r>
      <w:proofErr w:type="gramStart"/>
      <w:r w:rsidRPr="0001595F">
        <w:rPr>
          <w:rFonts w:cs="Calibri"/>
          <w:color w:val="0D0D0D"/>
        </w:rPr>
        <w:t>trafficking, and</w:t>
      </w:r>
      <w:proofErr w:type="gramEnd"/>
      <w:r w:rsidRPr="0001595F">
        <w:rPr>
          <w:rFonts w:cs="Calibri"/>
          <w:color w:val="0D0D0D"/>
        </w:rPr>
        <w:t xml:space="preserve"> shared the document with staff at POST and other human trafficking organizations that train law enforcement officers.</w:t>
      </w:r>
    </w:p>
    <w:p w14:paraId="331D3A1B" w14:textId="77777777" w:rsidR="0001595F" w:rsidRPr="0001595F" w:rsidRDefault="0001595F" w:rsidP="00D030A7">
      <w:pPr>
        <w:ind w:left="360" w:hanging="360"/>
        <w:contextualSpacing/>
        <w:rPr>
          <w:rFonts w:cs="Calibri"/>
          <w:b/>
          <w:color w:val="002060"/>
        </w:rPr>
      </w:pPr>
    </w:p>
    <w:p w14:paraId="034AF81A" w14:textId="407E3785" w:rsidR="0001595F" w:rsidRPr="0001595F" w:rsidRDefault="0001595F" w:rsidP="00D030A7">
      <w:pPr>
        <w:ind w:left="360" w:hanging="360"/>
        <w:contextualSpacing/>
        <w:rPr>
          <w:rFonts w:cs="Calibri"/>
          <w:b/>
          <w:color w:val="002060"/>
        </w:rPr>
      </w:pPr>
      <w:r w:rsidRPr="0001595F">
        <w:rPr>
          <w:rFonts w:cs="Calibri"/>
          <w:b/>
          <w:color w:val="002060"/>
        </w:rPr>
        <w:t>Better Identify/ Training</w:t>
      </w:r>
    </w:p>
    <w:p w14:paraId="6E1CAC33" w14:textId="77777777" w:rsidR="0001595F" w:rsidRPr="0001595F" w:rsidRDefault="0001595F" w:rsidP="00D030A7">
      <w:pPr>
        <w:numPr>
          <w:ilvl w:val="0"/>
          <w:numId w:val="33"/>
        </w:numPr>
        <w:ind w:left="360"/>
        <w:contextualSpacing/>
        <w:rPr>
          <w:rFonts w:cs="Calibri"/>
          <w:b/>
          <w:color w:val="002060"/>
        </w:rPr>
      </w:pPr>
      <w:r w:rsidRPr="0001595F">
        <w:rPr>
          <w:rFonts w:cs="Calibri"/>
          <w:color w:val="000000"/>
        </w:rPr>
        <w:t xml:space="preserve">Family and Children’s Services implemented screening for human trafficking for all foster care children over 10.  </w:t>
      </w:r>
    </w:p>
    <w:p w14:paraId="5D07078E" w14:textId="77777777" w:rsidR="0001595F" w:rsidRPr="0001595F" w:rsidRDefault="0001595F" w:rsidP="00D030A7">
      <w:pPr>
        <w:numPr>
          <w:ilvl w:val="0"/>
          <w:numId w:val="28"/>
        </w:numPr>
        <w:ind w:left="360"/>
        <w:contextualSpacing/>
        <w:rPr>
          <w:rFonts w:cs="Calibri"/>
          <w:color w:val="002060"/>
        </w:rPr>
      </w:pPr>
      <w:r w:rsidRPr="0001595F">
        <w:rPr>
          <w:rFonts w:cs="Calibri"/>
          <w:color w:val="000000"/>
        </w:rPr>
        <w:t xml:space="preserve">In 2014-2016, the San Francisco Unified School District trained all its wellness staff in child sex </w:t>
      </w:r>
      <w:proofErr w:type="gramStart"/>
      <w:r w:rsidRPr="0001595F">
        <w:rPr>
          <w:rFonts w:cs="Calibri"/>
          <w:color w:val="000000"/>
        </w:rPr>
        <w:t>trafficking, and</w:t>
      </w:r>
      <w:proofErr w:type="gramEnd"/>
      <w:r w:rsidRPr="0001595F">
        <w:rPr>
          <w:rFonts w:cs="Calibri"/>
          <w:color w:val="000000"/>
        </w:rPr>
        <w:t xml:space="preserve"> updated its child abuse reporting training for all staff to include information on trafficking as a form of child abuse.  </w:t>
      </w:r>
    </w:p>
    <w:p w14:paraId="71B9BA0F" w14:textId="77777777" w:rsidR="0001595F" w:rsidRPr="0001595F" w:rsidRDefault="0001595F" w:rsidP="00D030A7">
      <w:pPr>
        <w:numPr>
          <w:ilvl w:val="0"/>
          <w:numId w:val="28"/>
        </w:numPr>
        <w:ind w:left="360"/>
        <w:contextualSpacing/>
        <w:rPr>
          <w:rFonts w:cs="Calibri"/>
          <w:color w:val="002060"/>
        </w:rPr>
      </w:pPr>
      <w:r w:rsidRPr="0001595F">
        <w:rPr>
          <w:rFonts w:cs="Calibri"/>
          <w:color w:val="000000"/>
        </w:rPr>
        <w:t>All Environmental Health Inspectors at the Department of Public Health, who inspect massage establishments and restaurants, received training in human trafficking.</w:t>
      </w:r>
    </w:p>
    <w:p w14:paraId="7D23CBBB" w14:textId="77777777" w:rsidR="0001595F" w:rsidRPr="0001595F" w:rsidRDefault="0001595F" w:rsidP="00D030A7">
      <w:pPr>
        <w:numPr>
          <w:ilvl w:val="0"/>
          <w:numId w:val="28"/>
        </w:numPr>
        <w:ind w:left="360"/>
        <w:contextualSpacing/>
        <w:rPr>
          <w:rFonts w:cs="Calibri"/>
          <w:color w:val="002060"/>
        </w:rPr>
      </w:pPr>
      <w:r w:rsidRPr="0001595F">
        <w:rPr>
          <w:rFonts w:cs="Calibri"/>
          <w:color w:val="000000"/>
        </w:rPr>
        <w:t>Family and Children’s Services and Juvenile Probation Department trained all its staff on child sex trafficking.</w:t>
      </w:r>
    </w:p>
    <w:p w14:paraId="614BAF8E" w14:textId="77777777" w:rsidR="0001595F" w:rsidRPr="0001595F" w:rsidRDefault="0001595F" w:rsidP="00D030A7">
      <w:pPr>
        <w:numPr>
          <w:ilvl w:val="0"/>
          <w:numId w:val="28"/>
        </w:numPr>
        <w:ind w:left="360"/>
        <w:contextualSpacing/>
        <w:rPr>
          <w:rFonts w:cs="Calibri"/>
          <w:color w:val="002060"/>
        </w:rPr>
      </w:pPr>
      <w:r w:rsidRPr="0001595F">
        <w:rPr>
          <w:rFonts w:cs="Calibri"/>
          <w:color w:val="000000"/>
        </w:rPr>
        <w:t>In advance of Super Bowl 50, Task Force members participated in a training for hotel and hospitality staff in fall of 2015.</w:t>
      </w:r>
    </w:p>
    <w:p w14:paraId="2F9AC6B5" w14:textId="77777777" w:rsidR="0001595F" w:rsidRPr="0001595F" w:rsidRDefault="0001595F" w:rsidP="00D030A7">
      <w:pPr>
        <w:numPr>
          <w:ilvl w:val="0"/>
          <w:numId w:val="28"/>
        </w:numPr>
        <w:ind w:left="360"/>
        <w:contextualSpacing/>
        <w:rPr>
          <w:rFonts w:cs="Calibri"/>
          <w:color w:val="002060"/>
        </w:rPr>
      </w:pPr>
      <w:r w:rsidRPr="0001595F">
        <w:rPr>
          <w:rFonts w:cs="Calibri"/>
          <w:color w:val="000000"/>
        </w:rPr>
        <w:t>The Department on the Status of Women commissioned an on-line human trafficking training with modules for staff of hotels, restaurants and the general public, and collaborated with Stanford University to host the training for free on its on-line educational platform.  The training went live in January 2017.</w:t>
      </w:r>
    </w:p>
    <w:p w14:paraId="5FC5EBB6" w14:textId="77777777" w:rsidR="0001595F" w:rsidRPr="0001595F" w:rsidRDefault="0001595F" w:rsidP="00D030A7">
      <w:pPr>
        <w:numPr>
          <w:ilvl w:val="0"/>
          <w:numId w:val="28"/>
        </w:numPr>
        <w:ind w:left="360"/>
        <w:contextualSpacing/>
        <w:rPr>
          <w:rFonts w:cs="Calibri"/>
          <w:color w:val="002060"/>
        </w:rPr>
      </w:pPr>
      <w:r w:rsidRPr="0001595F">
        <w:rPr>
          <w:rFonts w:cs="Calibri"/>
          <w:color w:val="000000"/>
        </w:rPr>
        <w:t>Begin collaboration with Department of the Environment to expand Healthy Nail Salon presentation given to nail technicians to include information on labor rights and trafficking.</w:t>
      </w:r>
    </w:p>
    <w:p w14:paraId="46F09CC7" w14:textId="77777777" w:rsidR="0001595F" w:rsidRPr="0001595F" w:rsidRDefault="0001595F" w:rsidP="00D030A7">
      <w:pPr>
        <w:ind w:left="360" w:hanging="360"/>
        <w:contextualSpacing/>
        <w:rPr>
          <w:rFonts w:cs="Calibri"/>
          <w:color w:val="002060"/>
        </w:rPr>
      </w:pPr>
    </w:p>
    <w:p w14:paraId="17BB5B35" w14:textId="77777777" w:rsidR="0001595F" w:rsidRPr="0001595F" w:rsidRDefault="0001595F" w:rsidP="00D030A7">
      <w:pPr>
        <w:ind w:left="360" w:hanging="360"/>
        <w:contextualSpacing/>
        <w:rPr>
          <w:rFonts w:cs="Calibri"/>
          <w:b/>
          <w:color w:val="002060"/>
        </w:rPr>
      </w:pPr>
      <w:r w:rsidRPr="0001595F">
        <w:rPr>
          <w:rFonts w:cs="Calibri"/>
          <w:b/>
          <w:color w:val="002060"/>
        </w:rPr>
        <w:t>Data Collection</w:t>
      </w:r>
    </w:p>
    <w:p w14:paraId="09A6BCBA" w14:textId="1A38E95B" w:rsidR="0001595F" w:rsidRPr="000E75CD" w:rsidRDefault="0001595F" w:rsidP="00D030A7">
      <w:pPr>
        <w:numPr>
          <w:ilvl w:val="0"/>
          <w:numId w:val="31"/>
        </w:numPr>
        <w:ind w:left="360"/>
        <w:contextualSpacing/>
        <w:rPr>
          <w:rFonts w:cs="Calibri"/>
          <w:b/>
          <w:color w:val="002060"/>
        </w:rPr>
      </w:pPr>
      <w:r w:rsidRPr="0001595F">
        <w:rPr>
          <w:rFonts w:cs="Calibri"/>
          <w:color w:val="000000"/>
        </w:rPr>
        <w:t>In 2015, the Task Force published the first ever report on Human Trafficking in San Francisco to include numbers of trafficking cases identified by San Francisco agencies.  A full year’s worth of data was collected for 2015 and published in 2016.</w:t>
      </w:r>
    </w:p>
    <w:p w14:paraId="145CF4F2" w14:textId="77777777" w:rsidR="000E75CD" w:rsidRPr="0001595F" w:rsidRDefault="000E75CD" w:rsidP="000E75CD">
      <w:pPr>
        <w:ind w:left="360"/>
        <w:contextualSpacing/>
        <w:rPr>
          <w:rFonts w:cs="Calibri"/>
          <w:b/>
          <w:color w:val="002060"/>
        </w:rPr>
      </w:pPr>
    </w:p>
    <w:p w14:paraId="5CA2CF16" w14:textId="77777777" w:rsidR="0001595F" w:rsidRPr="0001595F" w:rsidRDefault="0001595F" w:rsidP="00D030A7">
      <w:pPr>
        <w:ind w:left="360" w:hanging="360"/>
        <w:contextualSpacing/>
        <w:rPr>
          <w:rFonts w:cs="Calibri"/>
          <w:b/>
          <w:color w:val="002060"/>
        </w:rPr>
      </w:pPr>
      <w:r w:rsidRPr="0001595F">
        <w:rPr>
          <w:rFonts w:cs="Calibri"/>
          <w:b/>
          <w:color w:val="002060"/>
        </w:rPr>
        <w:t>Public Awareness</w:t>
      </w:r>
    </w:p>
    <w:p w14:paraId="6CEF5C93" w14:textId="77777777" w:rsidR="0001595F" w:rsidRPr="0001595F" w:rsidRDefault="0001595F" w:rsidP="00D030A7">
      <w:pPr>
        <w:numPr>
          <w:ilvl w:val="0"/>
          <w:numId w:val="30"/>
        </w:numPr>
        <w:ind w:left="360"/>
        <w:contextualSpacing/>
        <w:rPr>
          <w:rFonts w:cs="Calibri"/>
          <w:b/>
          <w:color w:val="002060"/>
        </w:rPr>
      </w:pPr>
      <w:r w:rsidRPr="0001595F">
        <w:rPr>
          <w:rFonts w:cs="Calibri"/>
          <w:color w:val="000000"/>
        </w:rPr>
        <w:t xml:space="preserve">In 2014, the Task Force collaborated with San Mateo and Alameda County to design a Human Trafficking Notice to comply with SB </w:t>
      </w:r>
      <w:proofErr w:type="gramStart"/>
      <w:r w:rsidRPr="0001595F">
        <w:rPr>
          <w:rFonts w:cs="Calibri"/>
          <w:color w:val="000000"/>
        </w:rPr>
        <w:t>1193, and</w:t>
      </w:r>
      <w:proofErr w:type="gramEnd"/>
      <w:r w:rsidRPr="0001595F">
        <w:rPr>
          <w:rFonts w:cs="Calibri"/>
          <w:color w:val="000000"/>
        </w:rPr>
        <w:t xml:space="preserve"> led a day of outreach to businesses covered by the law.  Department of Public Health inspectors now check for the presence of the poster in massage establishments and find that most businesses display the notice.</w:t>
      </w:r>
    </w:p>
    <w:p w14:paraId="35BF6E96" w14:textId="77777777" w:rsidR="0001595F" w:rsidRPr="0001595F" w:rsidRDefault="0001595F" w:rsidP="00D030A7">
      <w:pPr>
        <w:numPr>
          <w:ilvl w:val="0"/>
          <w:numId w:val="30"/>
        </w:numPr>
        <w:ind w:left="360"/>
        <w:contextualSpacing/>
        <w:rPr>
          <w:rFonts w:cs="Calibri"/>
          <w:b/>
          <w:color w:val="002060"/>
        </w:rPr>
      </w:pPr>
      <w:r w:rsidRPr="0001595F">
        <w:rPr>
          <w:rFonts w:cs="Calibri"/>
          <w:color w:val="000000"/>
        </w:rPr>
        <w:t>The Task Force collaborated with the No Traffick Ahead regional effort, in advance of Super Bowl 50, to develop and post an effective human trafficking awareness ad campaign.  The campaign avoided stereotypical images of trafficking victims and focused more on labor trafficking than sex trafficking.  It ran on San Francisco busses, bus shelters, street furniture and on-line, and generated over 20 million impressions.</w:t>
      </w:r>
    </w:p>
    <w:p w14:paraId="4B63494E" w14:textId="20B793A8" w:rsidR="000E5AD1" w:rsidRPr="00966AE5" w:rsidRDefault="0001595F" w:rsidP="000E75CD">
      <w:pPr>
        <w:numPr>
          <w:ilvl w:val="0"/>
          <w:numId w:val="30"/>
        </w:numPr>
        <w:ind w:left="360"/>
        <w:contextualSpacing/>
        <w:rPr>
          <w:rFonts w:cs="Calibri"/>
          <w:b/>
          <w:color w:val="002060"/>
        </w:rPr>
      </w:pPr>
      <w:r w:rsidRPr="0001595F">
        <w:rPr>
          <w:rFonts w:cs="Calibri"/>
          <w:color w:val="000000"/>
        </w:rPr>
        <w:t>The Task Force drafted the No Traffick Ahead Local Government resolution, which San Francisco was the first jurisdiction to pass in 2015.  Over 25 cities/counties adopted the resolution.</w:t>
      </w:r>
    </w:p>
    <w:p w14:paraId="3DA8682D" w14:textId="00B15F84" w:rsidR="00966AE5" w:rsidRDefault="00966AE5" w:rsidP="00966AE5">
      <w:pPr>
        <w:contextualSpacing/>
        <w:rPr>
          <w:rFonts w:cs="Calibri"/>
          <w:color w:val="000000"/>
        </w:rPr>
      </w:pPr>
    </w:p>
    <w:p w14:paraId="2FAA0446" w14:textId="7B27925F" w:rsidR="00966AE5" w:rsidRPr="000E75CD" w:rsidRDefault="00966AE5" w:rsidP="00966AE5">
      <w:pPr>
        <w:contextualSpacing/>
        <w:rPr>
          <w:rFonts w:cs="Calibri"/>
          <w:b/>
          <w:color w:val="002060"/>
        </w:rPr>
      </w:pPr>
      <w:r>
        <w:rPr>
          <w:rFonts w:cs="Calibri"/>
          <w:color w:val="000000"/>
        </w:rPr>
        <w:t>December 2018</w:t>
      </w:r>
    </w:p>
    <w:sectPr w:rsidR="00966AE5" w:rsidRPr="000E75CD" w:rsidSect="00D030A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E7F79" w14:textId="77777777" w:rsidR="00332F09" w:rsidRDefault="00332F09" w:rsidP="00DA18AA">
      <w:pPr>
        <w:spacing w:after="0" w:line="240" w:lineRule="auto"/>
      </w:pPr>
      <w:r>
        <w:separator/>
      </w:r>
    </w:p>
  </w:endnote>
  <w:endnote w:type="continuationSeparator" w:id="0">
    <w:p w14:paraId="590349C8" w14:textId="77777777" w:rsidR="00332F09" w:rsidRDefault="00332F09" w:rsidP="00DA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9788D" w14:textId="77777777" w:rsidR="001C4FC4" w:rsidRDefault="001C4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37E49" w14:textId="2D28EF07" w:rsidR="00DA18AA" w:rsidRPr="0058281E" w:rsidRDefault="00DA18AA" w:rsidP="00DA18AA">
    <w:pPr>
      <w:pStyle w:val="Footer"/>
      <w:tabs>
        <w:tab w:val="clear" w:pos="4680"/>
        <w:tab w:val="clear" w:pos="9360"/>
        <w:tab w:val="left" w:pos="4008"/>
      </w:tabs>
      <w:rPr>
        <w:color w:val="808080"/>
      </w:rPr>
    </w:pPr>
    <w:r w:rsidRPr="0058281E">
      <w:rPr>
        <w:rFonts w:cs="Calibri"/>
        <w:color w:val="808080"/>
        <w:sz w:val="20"/>
        <w:szCs w:val="20"/>
      </w:rPr>
      <w:fldChar w:fldCharType="begin"/>
    </w:r>
    <w:r w:rsidRPr="0058281E">
      <w:rPr>
        <w:rFonts w:cs="Calibri"/>
        <w:color w:val="808080"/>
        <w:sz w:val="20"/>
        <w:szCs w:val="20"/>
      </w:rPr>
      <w:instrText xml:space="preserve"> PAGE   \* MERGEFORMAT </w:instrText>
    </w:r>
    <w:r w:rsidRPr="0058281E">
      <w:rPr>
        <w:rFonts w:cs="Calibri"/>
        <w:color w:val="808080"/>
        <w:sz w:val="20"/>
        <w:szCs w:val="20"/>
      </w:rPr>
      <w:fldChar w:fldCharType="separate"/>
    </w:r>
    <w:r w:rsidR="003E061F">
      <w:rPr>
        <w:rFonts w:cs="Calibri"/>
        <w:noProof/>
        <w:color w:val="808080"/>
        <w:sz w:val="20"/>
        <w:szCs w:val="20"/>
      </w:rPr>
      <w:t>2</w:t>
    </w:r>
    <w:r w:rsidRPr="0058281E">
      <w:rPr>
        <w:rFonts w:cs="Calibri"/>
        <w:noProof/>
        <w:color w:val="808080"/>
        <w:sz w:val="20"/>
        <w:szCs w:val="20"/>
      </w:rPr>
      <w:fldChar w:fldCharType="end"/>
    </w:r>
    <w:r w:rsidRPr="0058281E">
      <w:rPr>
        <w:rFonts w:cs="Calibri"/>
        <w:noProof/>
        <w:color w:val="808080"/>
        <w:sz w:val="20"/>
        <w:szCs w:val="20"/>
      </w:rPr>
      <w:t xml:space="preserve"> </w:t>
    </w:r>
    <w:r w:rsidRPr="0058281E">
      <w:rPr>
        <w:rFonts w:cs="Calibri"/>
        <w:b/>
        <w:noProof/>
        <w:color w:val="E36C0A"/>
        <w:sz w:val="20"/>
        <w:szCs w:val="20"/>
      </w:rPr>
      <w:t xml:space="preserve"> </w:t>
    </w:r>
    <w:r w:rsidRPr="0058281E">
      <w:rPr>
        <w:rFonts w:cs="Calibri"/>
        <w:b/>
        <w:color w:val="E36C0A"/>
        <w:sz w:val="20"/>
        <w:szCs w:val="20"/>
      </w:rPr>
      <w:t>|</w:t>
    </w:r>
    <w:r w:rsidRPr="0058281E">
      <w:rPr>
        <w:rFonts w:cs="Calibri"/>
        <w:b/>
        <w:color w:val="808080"/>
        <w:sz w:val="20"/>
        <w:szCs w:val="20"/>
      </w:rPr>
      <w:t xml:space="preserve"> </w:t>
    </w:r>
    <w:r w:rsidRPr="0058281E">
      <w:rPr>
        <w:rFonts w:cs="Calibri"/>
        <w:color w:val="808080"/>
        <w:sz w:val="20"/>
        <w:szCs w:val="20"/>
      </w:rPr>
      <w:t>San Francisco Department on the Status of Women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7C2CD" w14:textId="77777777" w:rsidR="00DA18AA" w:rsidRPr="00C64F0A" w:rsidRDefault="00DA18AA" w:rsidP="00D55E87">
    <w:pPr>
      <w:pStyle w:val="Footer"/>
      <w:tabs>
        <w:tab w:val="clear" w:pos="9360"/>
      </w:tabs>
      <w:ind w:right="-540"/>
      <w:jc w:val="center"/>
      <w:rPr>
        <w:rFonts w:cs="Calibri"/>
        <w:sz w:val="20"/>
        <w:szCs w:val="20"/>
      </w:rPr>
    </w:pPr>
    <w:r w:rsidRPr="00C64F0A">
      <w:rPr>
        <w:rFonts w:cs="Calibri"/>
        <w:color w:val="808080"/>
        <w:sz w:val="20"/>
        <w:szCs w:val="20"/>
      </w:rPr>
      <w:t xml:space="preserve">25 Van Ness Avenue, Suite 240 </w:t>
    </w:r>
    <w:r w:rsidRPr="00C64F0A">
      <w:rPr>
        <w:rFonts w:cs="Calibri"/>
        <w:color w:val="E36C0A"/>
        <w:sz w:val="20"/>
        <w:szCs w:val="20"/>
      </w:rPr>
      <w:t xml:space="preserve">| </w:t>
    </w:r>
    <w:r w:rsidRPr="00C64F0A">
      <w:rPr>
        <w:rFonts w:cs="Calibri"/>
        <w:color w:val="808080"/>
        <w:sz w:val="20"/>
        <w:szCs w:val="20"/>
      </w:rPr>
      <w:t xml:space="preserve">San Francisco, CA 94102 </w:t>
    </w:r>
    <w:r w:rsidRPr="00C64F0A">
      <w:rPr>
        <w:rFonts w:cs="Calibri"/>
        <w:color w:val="E36C0A"/>
        <w:sz w:val="20"/>
        <w:szCs w:val="20"/>
      </w:rPr>
      <w:t>|</w:t>
    </w:r>
    <w:r w:rsidRPr="00C64F0A">
      <w:rPr>
        <w:rFonts w:cs="Calibri"/>
        <w:sz w:val="20"/>
        <w:szCs w:val="20"/>
      </w:rPr>
      <w:t xml:space="preserve"> </w:t>
    </w:r>
    <w:hyperlink r:id="rId1" w:history="1">
      <w:r w:rsidRPr="00C64F0A">
        <w:rPr>
          <w:rStyle w:val="Hyperlink"/>
          <w:rFonts w:cs="Calibri"/>
          <w:color w:val="808080"/>
          <w:sz w:val="20"/>
          <w:szCs w:val="20"/>
          <w:u w:val="none"/>
        </w:rPr>
        <w:t>sfgov.org/dosw</w:t>
      </w:r>
    </w:hyperlink>
    <w:r w:rsidRPr="00C64F0A">
      <w:rPr>
        <w:rFonts w:cs="Calibri"/>
        <w:sz w:val="20"/>
        <w:szCs w:val="20"/>
      </w:rPr>
      <w:t xml:space="preserve"> </w:t>
    </w:r>
    <w:r w:rsidRPr="00C64F0A">
      <w:rPr>
        <w:rFonts w:cs="Calibri"/>
        <w:color w:val="E36C0A"/>
        <w:sz w:val="20"/>
        <w:szCs w:val="20"/>
      </w:rPr>
      <w:t>|</w:t>
    </w:r>
    <w:r w:rsidRPr="00C64F0A">
      <w:rPr>
        <w:rFonts w:cs="Calibri"/>
        <w:sz w:val="20"/>
        <w:szCs w:val="20"/>
      </w:rPr>
      <w:t xml:space="preserve"> </w:t>
    </w:r>
    <w:hyperlink r:id="rId2" w:history="1">
      <w:r w:rsidRPr="00C64F0A">
        <w:rPr>
          <w:rStyle w:val="Hyperlink"/>
          <w:rFonts w:cs="Calibri"/>
          <w:color w:val="808080"/>
          <w:sz w:val="20"/>
          <w:szCs w:val="20"/>
          <w:u w:val="none"/>
        </w:rPr>
        <w:t>dosw@sfgov.org</w:t>
      </w:r>
    </w:hyperlink>
    <w:r w:rsidRPr="00C64F0A">
      <w:rPr>
        <w:rFonts w:cs="Calibri"/>
        <w:sz w:val="20"/>
        <w:szCs w:val="20"/>
      </w:rPr>
      <w:t xml:space="preserve"> </w:t>
    </w:r>
    <w:r w:rsidRPr="00C64F0A">
      <w:rPr>
        <w:rFonts w:cs="Calibri"/>
        <w:color w:val="E36C0A"/>
        <w:sz w:val="20"/>
        <w:szCs w:val="20"/>
      </w:rPr>
      <w:t>|</w:t>
    </w:r>
    <w:r w:rsidR="00932686" w:rsidRPr="00C64F0A">
      <w:rPr>
        <w:rFonts w:cs="Calibri"/>
        <w:color w:val="E36C0A"/>
        <w:sz w:val="20"/>
        <w:szCs w:val="20"/>
      </w:rPr>
      <w:t xml:space="preserve"> </w:t>
    </w:r>
    <w:r w:rsidRPr="00C64F0A">
      <w:rPr>
        <w:rFonts w:cs="Calibri"/>
        <w:color w:val="808080"/>
        <w:sz w:val="20"/>
        <w:szCs w:val="20"/>
      </w:rPr>
      <w:t>415.252.2570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1AEBD" w14:textId="77777777" w:rsidR="00332F09" w:rsidRDefault="00332F09" w:rsidP="00DA18AA">
      <w:pPr>
        <w:spacing w:after="0" w:line="240" w:lineRule="auto"/>
      </w:pPr>
      <w:r>
        <w:separator/>
      </w:r>
    </w:p>
  </w:footnote>
  <w:footnote w:type="continuationSeparator" w:id="0">
    <w:p w14:paraId="1B095CE8" w14:textId="77777777" w:rsidR="00332F09" w:rsidRDefault="00332F09" w:rsidP="00DA1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1F0F" w14:textId="77777777" w:rsidR="001C4FC4" w:rsidRDefault="001C4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F27E5" w14:textId="77777777" w:rsidR="001C4FC4" w:rsidRDefault="001C4F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9AFFE" w14:textId="418E644E" w:rsidR="00DA18AA" w:rsidRPr="00061B08" w:rsidRDefault="00FB6337" w:rsidP="00FB3FFA">
    <w:pPr>
      <w:pStyle w:val="Header"/>
    </w:pPr>
    <w:r>
      <w:rPr>
        <w:noProof/>
      </w:rPr>
      <w:drawing>
        <wp:inline distT="0" distB="0" distL="0" distR="0" wp14:anchorId="0EAAEA64" wp14:editId="25C0ED96">
          <wp:extent cx="5943600" cy="1086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1086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C49"/>
    <w:multiLevelType w:val="hybridMultilevel"/>
    <w:tmpl w:val="2898DDFA"/>
    <w:lvl w:ilvl="0" w:tplc="04090013">
      <w:start w:val="1"/>
      <w:numFmt w:val="upperRoman"/>
      <w:lvlText w:val="%1."/>
      <w:lvlJc w:val="right"/>
      <w:pPr>
        <w:ind w:left="720" w:hanging="360"/>
      </w:pPr>
    </w:lvl>
    <w:lvl w:ilvl="1" w:tplc="3D0418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9059C"/>
    <w:multiLevelType w:val="hybridMultilevel"/>
    <w:tmpl w:val="A91050D2"/>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6737983"/>
    <w:multiLevelType w:val="hybridMultilevel"/>
    <w:tmpl w:val="559C9F20"/>
    <w:lvl w:ilvl="0" w:tplc="A4282438">
      <w:start w:val="1"/>
      <w:numFmt w:val="upperRoman"/>
      <w:lvlText w:val="%1."/>
      <w:lvlJc w:val="left"/>
      <w:pPr>
        <w:ind w:left="900" w:hanging="720"/>
      </w:pPr>
      <w:rPr>
        <w:b/>
        <w:i w:val="0"/>
      </w:rPr>
    </w:lvl>
    <w:lvl w:ilvl="1" w:tplc="04090015">
      <w:start w:val="1"/>
      <w:numFmt w:val="upperLetter"/>
      <w:lvlText w:val="%2."/>
      <w:lvlJc w:val="left"/>
      <w:pPr>
        <w:ind w:left="1308" w:hanging="360"/>
      </w:pPr>
      <w:rPr>
        <w:b/>
        <w:i w:val="0"/>
      </w:rPr>
    </w:lvl>
    <w:lvl w:ilvl="2" w:tplc="0409001B">
      <w:start w:val="1"/>
      <w:numFmt w:val="lowerRoman"/>
      <w:lvlText w:val="%3."/>
      <w:lvlJc w:val="right"/>
      <w:pPr>
        <w:ind w:left="2028" w:hanging="180"/>
      </w:pPr>
    </w:lvl>
    <w:lvl w:ilvl="3" w:tplc="0409000F">
      <w:start w:val="1"/>
      <w:numFmt w:val="decimal"/>
      <w:lvlText w:val="%4."/>
      <w:lvlJc w:val="left"/>
      <w:pPr>
        <w:ind w:left="2748" w:hanging="360"/>
      </w:pPr>
    </w:lvl>
    <w:lvl w:ilvl="4" w:tplc="04090019">
      <w:start w:val="1"/>
      <w:numFmt w:val="lowerLetter"/>
      <w:lvlText w:val="%5."/>
      <w:lvlJc w:val="left"/>
      <w:pPr>
        <w:ind w:left="3468" w:hanging="360"/>
      </w:pPr>
    </w:lvl>
    <w:lvl w:ilvl="5" w:tplc="0409001B">
      <w:start w:val="1"/>
      <w:numFmt w:val="lowerRoman"/>
      <w:lvlText w:val="%6."/>
      <w:lvlJc w:val="right"/>
      <w:pPr>
        <w:ind w:left="4188" w:hanging="180"/>
      </w:pPr>
    </w:lvl>
    <w:lvl w:ilvl="6" w:tplc="0409000F">
      <w:start w:val="1"/>
      <w:numFmt w:val="decimal"/>
      <w:lvlText w:val="%7."/>
      <w:lvlJc w:val="left"/>
      <w:pPr>
        <w:ind w:left="4908" w:hanging="360"/>
      </w:pPr>
    </w:lvl>
    <w:lvl w:ilvl="7" w:tplc="04090019">
      <w:start w:val="1"/>
      <w:numFmt w:val="lowerLetter"/>
      <w:lvlText w:val="%8."/>
      <w:lvlJc w:val="left"/>
      <w:pPr>
        <w:ind w:left="5628" w:hanging="360"/>
      </w:pPr>
    </w:lvl>
    <w:lvl w:ilvl="8" w:tplc="0409001B">
      <w:start w:val="1"/>
      <w:numFmt w:val="lowerRoman"/>
      <w:lvlText w:val="%9."/>
      <w:lvlJc w:val="right"/>
      <w:pPr>
        <w:ind w:left="6348" w:hanging="180"/>
      </w:pPr>
    </w:lvl>
  </w:abstractNum>
  <w:abstractNum w:abstractNumId="3" w15:restartNumberingAfterBreak="0">
    <w:nsid w:val="1B3A2B35"/>
    <w:multiLevelType w:val="hybridMultilevel"/>
    <w:tmpl w:val="927C0480"/>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FE42E80"/>
    <w:multiLevelType w:val="hybridMultilevel"/>
    <w:tmpl w:val="2E7E22B6"/>
    <w:lvl w:ilvl="0" w:tplc="04090015">
      <w:start w:val="1"/>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201A4FD0"/>
    <w:multiLevelType w:val="hybridMultilevel"/>
    <w:tmpl w:val="31889C82"/>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2ED0BDE"/>
    <w:multiLevelType w:val="hybridMultilevel"/>
    <w:tmpl w:val="C82A8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29558D"/>
    <w:multiLevelType w:val="hybridMultilevel"/>
    <w:tmpl w:val="94D06B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226C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004A80"/>
    <w:multiLevelType w:val="hybridMultilevel"/>
    <w:tmpl w:val="9626B3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6418C5"/>
    <w:multiLevelType w:val="hybridMultilevel"/>
    <w:tmpl w:val="DC8EB5C8"/>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3CA66110"/>
    <w:multiLevelType w:val="hybridMultilevel"/>
    <w:tmpl w:val="3FE6C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B05FF"/>
    <w:multiLevelType w:val="hybridMultilevel"/>
    <w:tmpl w:val="817CF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D83FE4"/>
    <w:multiLevelType w:val="hybridMultilevel"/>
    <w:tmpl w:val="8410D9E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417B1E"/>
    <w:multiLevelType w:val="hybridMultilevel"/>
    <w:tmpl w:val="44888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2A113D"/>
    <w:multiLevelType w:val="hybridMultilevel"/>
    <w:tmpl w:val="25CC8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08136A"/>
    <w:multiLevelType w:val="hybridMultilevel"/>
    <w:tmpl w:val="15DE32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3C44C88"/>
    <w:multiLevelType w:val="hybridMultilevel"/>
    <w:tmpl w:val="A5DA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07BEE"/>
    <w:multiLevelType w:val="hybridMultilevel"/>
    <w:tmpl w:val="78BAE1E4"/>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592118D6"/>
    <w:multiLevelType w:val="hybridMultilevel"/>
    <w:tmpl w:val="1FBCC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011B26"/>
    <w:multiLevelType w:val="hybridMultilevel"/>
    <w:tmpl w:val="5D8A11EC"/>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967C2C"/>
    <w:multiLevelType w:val="hybridMultilevel"/>
    <w:tmpl w:val="FE34954C"/>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5DE728D6"/>
    <w:multiLevelType w:val="hybridMultilevel"/>
    <w:tmpl w:val="02EC5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414CD"/>
    <w:multiLevelType w:val="hybridMultilevel"/>
    <w:tmpl w:val="04547C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137541A"/>
    <w:multiLevelType w:val="hybridMultilevel"/>
    <w:tmpl w:val="905A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35AA4"/>
    <w:multiLevelType w:val="hybridMultilevel"/>
    <w:tmpl w:val="33A2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B3B4C"/>
    <w:multiLevelType w:val="hybridMultilevel"/>
    <w:tmpl w:val="1E0C0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935E9"/>
    <w:multiLevelType w:val="hybridMultilevel"/>
    <w:tmpl w:val="44888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134D70"/>
    <w:multiLevelType w:val="hybridMultilevel"/>
    <w:tmpl w:val="F712F9B8"/>
    <w:lvl w:ilvl="0" w:tplc="3D0418AC">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D94566"/>
    <w:multiLevelType w:val="hybridMultilevel"/>
    <w:tmpl w:val="2898DDFA"/>
    <w:lvl w:ilvl="0" w:tplc="04090013">
      <w:start w:val="1"/>
      <w:numFmt w:val="upperRoman"/>
      <w:lvlText w:val="%1."/>
      <w:lvlJc w:val="right"/>
      <w:pPr>
        <w:ind w:left="720" w:hanging="360"/>
      </w:pPr>
    </w:lvl>
    <w:lvl w:ilvl="1" w:tplc="3D0418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443A8"/>
    <w:multiLevelType w:val="hybridMultilevel"/>
    <w:tmpl w:val="75DC03CA"/>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77DD2B57"/>
    <w:multiLevelType w:val="hybridMultilevel"/>
    <w:tmpl w:val="C064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6"/>
  </w:num>
  <w:num w:numId="4">
    <w:abstractNumId w:val="26"/>
  </w:num>
  <w:num w:numId="5">
    <w:abstractNumId w:val="7"/>
  </w:num>
  <w:num w:numId="6">
    <w:abstractNumId w:val="23"/>
  </w:num>
  <w:num w:numId="7">
    <w:abstractNumId w:val="25"/>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4"/>
  </w:num>
  <w:num w:numId="13">
    <w:abstractNumId w:val="31"/>
  </w:num>
  <w:num w:numId="14">
    <w:abstractNumId w:val="20"/>
  </w:num>
  <w:num w:numId="15">
    <w:abstractNumId w:val="15"/>
  </w:num>
  <w:num w:numId="16">
    <w:abstractNumId w:val="14"/>
  </w:num>
  <w:num w:numId="17">
    <w:abstractNumId w:val="27"/>
  </w:num>
  <w:num w:numId="18">
    <w:abstractNumId w:val="2"/>
  </w:num>
  <w:num w:numId="19">
    <w:abstractNumId w:val="12"/>
  </w:num>
  <w:num w:numId="20">
    <w:abstractNumId w:val="13"/>
  </w:num>
  <w:num w:numId="21">
    <w:abstractNumId w:val="9"/>
  </w:num>
  <w:num w:numId="22">
    <w:abstractNumId w:val="19"/>
  </w:num>
  <w:num w:numId="23">
    <w:abstractNumId w:val="29"/>
  </w:num>
  <w:num w:numId="24">
    <w:abstractNumId w:val="11"/>
  </w:num>
  <w:num w:numId="25">
    <w:abstractNumId w:val="0"/>
  </w:num>
  <w:num w:numId="26">
    <w:abstractNumId w:val="28"/>
  </w:num>
  <w:num w:numId="27">
    <w:abstractNumId w:val="1"/>
  </w:num>
  <w:num w:numId="28">
    <w:abstractNumId w:val="10"/>
  </w:num>
  <w:num w:numId="29">
    <w:abstractNumId w:val="3"/>
  </w:num>
  <w:num w:numId="30">
    <w:abstractNumId w:val="21"/>
  </w:num>
  <w:num w:numId="31">
    <w:abstractNumId w:val="5"/>
  </w:num>
  <w:num w:numId="32">
    <w:abstractNumId w:val="1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42A"/>
    <w:rsid w:val="0001595F"/>
    <w:rsid w:val="0002229B"/>
    <w:rsid w:val="00030B95"/>
    <w:rsid w:val="00032C29"/>
    <w:rsid w:val="00034518"/>
    <w:rsid w:val="00042F91"/>
    <w:rsid w:val="00061B08"/>
    <w:rsid w:val="00067D5B"/>
    <w:rsid w:val="000A5D93"/>
    <w:rsid w:val="000D45DB"/>
    <w:rsid w:val="000E0C2C"/>
    <w:rsid w:val="000E5AD1"/>
    <w:rsid w:val="000E75CD"/>
    <w:rsid w:val="00127095"/>
    <w:rsid w:val="001914A9"/>
    <w:rsid w:val="0019535A"/>
    <w:rsid w:val="0019684D"/>
    <w:rsid w:val="001C4FC4"/>
    <w:rsid w:val="001D5311"/>
    <w:rsid w:val="002154B9"/>
    <w:rsid w:val="00242224"/>
    <w:rsid w:val="002424B0"/>
    <w:rsid w:val="00270940"/>
    <w:rsid w:val="00273014"/>
    <w:rsid w:val="00275AEC"/>
    <w:rsid w:val="00285775"/>
    <w:rsid w:val="002A2767"/>
    <w:rsid w:val="002E2437"/>
    <w:rsid w:val="00322024"/>
    <w:rsid w:val="00332F09"/>
    <w:rsid w:val="0033432A"/>
    <w:rsid w:val="0034015B"/>
    <w:rsid w:val="00347812"/>
    <w:rsid w:val="0035449F"/>
    <w:rsid w:val="00395C25"/>
    <w:rsid w:val="003960A8"/>
    <w:rsid w:val="003B3952"/>
    <w:rsid w:val="003B5AFD"/>
    <w:rsid w:val="003E061F"/>
    <w:rsid w:val="003E2989"/>
    <w:rsid w:val="00460C3B"/>
    <w:rsid w:val="00475ABA"/>
    <w:rsid w:val="00484135"/>
    <w:rsid w:val="00485D7F"/>
    <w:rsid w:val="004A0D4A"/>
    <w:rsid w:val="004C4486"/>
    <w:rsid w:val="00501FAE"/>
    <w:rsid w:val="005226A7"/>
    <w:rsid w:val="005231AF"/>
    <w:rsid w:val="00531095"/>
    <w:rsid w:val="00551717"/>
    <w:rsid w:val="00552255"/>
    <w:rsid w:val="005703FD"/>
    <w:rsid w:val="0058281E"/>
    <w:rsid w:val="00585598"/>
    <w:rsid w:val="005A454C"/>
    <w:rsid w:val="005D4EF7"/>
    <w:rsid w:val="005F3986"/>
    <w:rsid w:val="005F3F24"/>
    <w:rsid w:val="006163B6"/>
    <w:rsid w:val="00624CEC"/>
    <w:rsid w:val="00695118"/>
    <w:rsid w:val="00700C33"/>
    <w:rsid w:val="0073314B"/>
    <w:rsid w:val="00733560"/>
    <w:rsid w:val="00736729"/>
    <w:rsid w:val="0075601E"/>
    <w:rsid w:val="00770F1B"/>
    <w:rsid w:val="00780FBB"/>
    <w:rsid w:val="0079174A"/>
    <w:rsid w:val="00792F6C"/>
    <w:rsid w:val="00813F99"/>
    <w:rsid w:val="008315EF"/>
    <w:rsid w:val="008329BF"/>
    <w:rsid w:val="00873BFF"/>
    <w:rsid w:val="00884CE2"/>
    <w:rsid w:val="008C55DF"/>
    <w:rsid w:val="008D3EE4"/>
    <w:rsid w:val="008D4589"/>
    <w:rsid w:val="008D6DD2"/>
    <w:rsid w:val="009069D3"/>
    <w:rsid w:val="009266AD"/>
    <w:rsid w:val="00932686"/>
    <w:rsid w:val="009413CA"/>
    <w:rsid w:val="009563C6"/>
    <w:rsid w:val="00966AE5"/>
    <w:rsid w:val="009807D4"/>
    <w:rsid w:val="009A40F3"/>
    <w:rsid w:val="009C3351"/>
    <w:rsid w:val="009C7A43"/>
    <w:rsid w:val="00A00D81"/>
    <w:rsid w:val="00A01120"/>
    <w:rsid w:val="00A41726"/>
    <w:rsid w:val="00A8419F"/>
    <w:rsid w:val="00A95335"/>
    <w:rsid w:val="00AA0DCD"/>
    <w:rsid w:val="00AB1D70"/>
    <w:rsid w:val="00AB356C"/>
    <w:rsid w:val="00AE27B0"/>
    <w:rsid w:val="00AE3FD7"/>
    <w:rsid w:val="00B230E5"/>
    <w:rsid w:val="00B31C71"/>
    <w:rsid w:val="00B57189"/>
    <w:rsid w:val="00B9094A"/>
    <w:rsid w:val="00BA3173"/>
    <w:rsid w:val="00BD09F6"/>
    <w:rsid w:val="00BE6C21"/>
    <w:rsid w:val="00C35818"/>
    <w:rsid w:val="00C450FF"/>
    <w:rsid w:val="00C4595F"/>
    <w:rsid w:val="00C64F0A"/>
    <w:rsid w:val="00C9421C"/>
    <w:rsid w:val="00C97055"/>
    <w:rsid w:val="00CA699F"/>
    <w:rsid w:val="00CC6FD6"/>
    <w:rsid w:val="00CE71A8"/>
    <w:rsid w:val="00D030A7"/>
    <w:rsid w:val="00D53E48"/>
    <w:rsid w:val="00D53FDB"/>
    <w:rsid w:val="00D55E87"/>
    <w:rsid w:val="00D776BD"/>
    <w:rsid w:val="00DA18AA"/>
    <w:rsid w:val="00DE420B"/>
    <w:rsid w:val="00DE5F57"/>
    <w:rsid w:val="00DF6D5C"/>
    <w:rsid w:val="00E32CBA"/>
    <w:rsid w:val="00E421DF"/>
    <w:rsid w:val="00E46980"/>
    <w:rsid w:val="00EA554B"/>
    <w:rsid w:val="00EB6F57"/>
    <w:rsid w:val="00F333C4"/>
    <w:rsid w:val="00F424EE"/>
    <w:rsid w:val="00F4442A"/>
    <w:rsid w:val="00F47577"/>
    <w:rsid w:val="00F55686"/>
    <w:rsid w:val="00F643C4"/>
    <w:rsid w:val="00F80E6A"/>
    <w:rsid w:val="00F83903"/>
    <w:rsid w:val="00F90386"/>
    <w:rsid w:val="00FB3FFA"/>
    <w:rsid w:val="00FB63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14:docId w14:val="28FF8432"/>
  <w15:docId w15:val="{A804AAA1-3FE5-44ED-8136-E98EE8F6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0"/>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5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4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442A"/>
    <w:rPr>
      <w:rFonts w:ascii="Tahoma" w:hAnsi="Tahoma" w:cs="Tahoma"/>
      <w:sz w:val="16"/>
      <w:szCs w:val="16"/>
    </w:rPr>
  </w:style>
  <w:style w:type="paragraph" w:styleId="Header">
    <w:name w:val="header"/>
    <w:basedOn w:val="Normal"/>
    <w:link w:val="HeaderChar"/>
    <w:uiPriority w:val="99"/>
    <w:unhideWhenUsed/>
    <w:rsid w:val="00F44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42A"/>
  </w:style>
  <w:style w:type="paragraph" w:styleId="Footer">
    <w:name w:val="footer"/>
    <w:basedOn w:val="Normal"/>
    <w:link w:val="FooterChar"/>
    <w:uiPriority w:val="99"/>
    <w:unhideWhenUsed/>
    <w:rsid w:val="00F44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42A"/>
  </w:style>
  <w:style w:type="character" w:styleId="Hyperlink">
    <w:name w:val="Hyperlink"/>
    <w:uiPriority w:val="99"/>
    <w:unhideWhenUsed/>
    <w:rsid w:val="00F7764C"/>
    <w:rPr>
      <w:color w:val="0000FF"/>
      <w:u w:val="single"/>
    </w:rPr>
  </w:style>
  <w:style w:type="paragraph" w:customStyle="1" w:styleId="MediumGrid21">
    <w:name w:val="Medium Grid 21"/>
    <w:uiPriority w:val="1"/>
    <w:qFormat/>
    <w:rsid w:val="000B1B70"/>
    <w:rPr>
      <w:sz w:val="22"/>
      <w:szCs w:val="22"/>
    </w:rPr>
  </w:style>
  <w:style w:type="paragraph" w:styleId="ListParagraph">
    <w:name w:val="List Paragraph"/>
    <w:basedOn w:val="Normal"/>
    <w:uiPriority w:val="34"/>
    <w:qFormat/>
    <w:rsid w:val="00F47577"/>
    <w:pPr>
      <w:ind w:left="720"/>
      <w:contextualSpacing/>
    </w:pPr>
  </w:style>
  <w:style w:type="character" w:styleId="Strong">
    <w:name w:val="Strong"/>
    <w:uiPriority w:val="22"/>
    <w:qFormat/>
    <w:rsid w:val="00813F99"/>
    <w:rPr>
      <w:b/>
      <w:bCs/>
    </w:rPr>
  </w:style>
  <w:style w:type="character" w:styleId="Emphasis">
    <w:name w:val="Emphasis"/>
    <w:uiPriority w:val="20"/>
    <w:qFormat/>
    <w:rsid w:val="00813F99"/>
    <w:rPr>
      <w:i/>
      <w:iCs/>
    </w:rPr>
  </w:style>
  <w:style w:type="paragraph" w:styleId="NormalWeb">
    <w:name w:val="Normal (Web)"/>
    <w:basedOn w:val="Normal"/>
    <w:uiPriority w:val="99"/>
    <w:unhideWhenUsed/>
    <w:rsid w:val="00DF6D5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9C7A43"/>
  </w:style>
  <w:style w:type="table" w:styleId="LightShading-Accent5">
    <w:name w:val="Light Shading Accent 5"/>
    <w:basedOn w:val="TableNormal"/>
    <w:uiPriority w:val="60"/>
    <w:rsid w:val="00273014"/>
    <w:rPr>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EndnoteText">
    <w:name w:val="endnote text"/>
    <w:basedOn w:val="Normal"/>
    <w:link w:val="EndnoteTextChar"/>
    <w:uiPriority w:val="99"/>
    <w:semiHidden/>
    <w:unhideWhenUsed/>
    <w:rsid w:val="00E46980"/>
    <w:rPr>
      <w:sz w:val="20"/>
      <w:szCs w:val="20"/>
    </w:rPr>
  </w:style>
  <w:style w:type="character" w:customStyle="1" w:styleId="EndnoteTextChar">
    <w:name w:val="Endnote Text Char"/>
    <w:link w:val="EndnoteText"/>
    <w:uiPriority w:val="99"/>
    <w:semiHidden/>
    <w:rsid w:val="00E46980"/>
    <w:rPr>
      <w:lang w:eastAsia="en-US"/>
    </w:rPr>
  </w:style>
  <w:style w:type="character" w:styleId="EndnoteReference">
    <w:name w:val="endnote reference"/>
    <w:uiPriority w:val="99"/>
    <w:semiHidden/>
    <w:unhideWhenUsed/>
    <w:rsid w:val="00E46980"/>
    <w:rPr>
      <w:vertAlign w:val="superscript"/>
    </w:rPr>
  </w:style>
  <w:style w:type="paragraph" w:customStyle="1" w:styleId="FaxSubheading">
    <w:name w:val="Fax Subheading"/>
    <w:basedOn w:val="Normal"/>
    <w:qFormat/>
    <w:rsid w:val="00F424EE"/>
    <w:pPr>
      <w:framePr w:hSpace="180" w:wrap="around" w:vAnchor="text" w:hAnchor="text" w:y="55"/>
      <w:spacing w:line="240" w:lineRule="auto"/>
    </w:pPr>
    <w:rPr>
      <w:b/>
      <w:sz w:val="18"/>
    </w:rPr>
  </w:style>
  <w:style w:type="paragraph" w:customStyle="1" w:styleId="FaxBodyText">
    <w:name w:val="Fax Body Text"/>
    <w:basedOn w:val="Normal"/>
    <w:qFormat/>
    <w:rsid w:val="00F424EE"/>
    <w:pPr>
      <w:framePr w:hSpace="180" w:wrap="around" w:vAnchor="text" w:hAnchor="text" w:y="55"/>
      <w:spacing w:after="0" w:line="240" w:lineRule="auto"/>
    </w:pPr>
    <w:rPr>
      <w:sz w:val="18"/>
    </w:rPr>
  </w:style>
  <w:style w:type="table" w:styleId="TableGrid">
    <w:name w:val="Table Grid"/>
    <w:basedOn w:val="TableNormal"/>
    <w:uiPriority w:val="59"/>
    <w:rsid w:val="00A84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5AD1"/>
    <w:rPr>
      <w:sz w:val="18"/>
      <w:szCs w:val="18"/>
    </w:rPr>
  </w:style>
  <w:style w:type="paragraph" w:styleId="CommentText">
    <w:name w:val="annotation text"/>
    <w:basedOn w:val="Normal"/>
    <w:link w:val="CommentTextChar"/>
    <w:uiPriority w:val="99"/>
    <w:semiHidden/>
    <w:unhideWhenUsed/>
    <w:rsid w:val="000E5AD1"/>
    <w:pPr>
      <w:spacing w:after="0" w:line="240" w:lineRule="auto"/>
    </w:pPr>
    <w:rPr>
      <w:rFonts w:asciiTheme="minorHAnsi" w:eastAsiaTheme="minorEastAsia" w:hAnsiTheme="minorHAnsi" w:cstheme="minorBidi"/>
      <w:sz w:val="24"/>
      <w:szCs w:val="24"/>
      <w:lang w:val="en-GB"/>
    </w:rPr>
  </w:style>
  <w:style w:type="character" w:customStyle="1" w:styleId="CommentTextChar">
    <w:name w:val="Comment Text Char"/>
    <w:basedOn w:val="DefaultParagraphFont"/>
    <w:link w:val="CommentText"/>
    <w:uiPriority w:val="99"/>
    <w:semiHidden/>
    <w:rsid w:val="000E5AD1"/>
    <w:rPr>
      <w:rFonts w:asciiTheme="minorHAnsi" w:eastAsiaTheme="minorEastAsia" w:hAnsiTheme="minorHAnsi" w:cstheme="minorBidi"/>
      <w:sz w:val="24"/>
      <w:szCs w:val="24"/>
      <w:lang w:val="en-GB"/>
    </w:rPr>
  </w:style>
  <w:style w:type="paragraph" w:styleId="CommentSubject">
    <w:name w:val="annotation subject"/>
    <w:basedOn w:val="CommentText"/>
    <w:next w:val="CommentText"/>
    <w:link w:val="CommentSubjectChar"/>
    <w:uiPriority w:val="99"/>
    <w:semiHidden/>
    <w:unhideWhenUsed/>
    <w:rsid w:val="000E5AD1"/>
    <w:pPr>
      <w:spacing w:after="200"/>
    </w:pPr>
    <w:rPr>
      <w:rFonts w:ascii="Calibri" w:eastAsia="Calibri" w:hAnsi="Calibri" w:cs="Times New Roman"/>
      <w:b/>
      <w:bCs/>
      <w:sz w:val="20"/>
      <w:szCs w:val="20"/>
      <w:lang w:val="en-US"/>
    </w:rPr>
  </w:style>
  <w:style w:type="character" w:customStyle="1" w:styleId="CommentSubjectChar">
    <w:name w:val="Comment Subject Char"/>
    <w:basedOn w:val="CommentTextChar"/>
    <w:link w:val="CommentSubject"/>
    <w:uiPriority w:val="99"/>
    <w:semiHidden/>
    <w:rsid w:val="000E5AD1"/>
    <w:rPr>
      <w:rFonts w:asciiTheme="minorHAnsi" w:eastAsiaTheme="minorEastAsia" w:hAnsiTheme="minorHAnsi" w:cstheme="minorBidi"/>
      <w:b/>
      <w:bCs/>
      <w:sz w:val="24"/>
      <w:szCs w:val="24"/>
      <w:lang w:val="en-GB"/>
    </w:rPr>
  </w:style>
  <w:style w:type="character" w:customStyle="1" w:styleId="UnresolvedMention1">
    <w:name w:val="Unresolved Mention1"/>
    <w:basedOn w:val="DefaultParagraphFont"/>
    <w:uiPriority w:val="99"/>
    <w:semiHidden/>
    <w:unhideWhenUsed/>
    <w:rsid w:val="000E5A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19550">
      <w:bodyDiv w:val="1"/>
      <w:marLeft w:val="0"/>
      <w:marRight w:val="0"/>
      <w:marTop w:val="0"/>
      <w:marBottom w:val="0"/>
      <w:divBdr>
        <w:top w:val="none" w:sz="0" w:space="0" w:color="auto"/>
        <w:left w:val="none" w:sz="0" w:space="0" w:color="auto"/>
        <w:bottom w:val="none" w:sz="0" w:space="0" w:color="auto"/>
        <w:right w:val="none" w:sz="0" w:space="0" w:color="auto"/>
      </w:divBdr>
    </w:div>
    <w:div w:id="1158620616">
      <w:bodyDiv w:val="1"/>
      <w:marLeft w:val="0"/>
      <w:marRight w:val="0"/>
      <w:marTop w:val="0"/>
      <w:marBottom w:val="0"/>
      <w:divBdr>
        <w:top w:val="none" w:sz="0" w:space="0" w:color="auto"/>
        <w:left w:val="none" w:sz="0" w:space="0" w:color="auto"/>
        <w:bottom w:val="none" w:sz="0" w:space="0" w:color="auto"/>
        <w:right w:val="none" w:sz="0" w:space="0" w:color="auto"/>
      </w:divBdr>
      <w:divsChild>
        <w:div w:id="117842017">
          <w:marLeft w:val="0"/>
          <w:marRight w:val="0"/>
          <w:marTop w:val="0"/>
          <w:marBottom w:val="0"/>
          <w:divBdr>
            <w:top w:val="none" w:sz="0" w:space="0" w:color="auto"/>
            <w:left w:val="none" w:sz="0" w:space="0" w:color="auto"/>
            <w:bottom w:val="none" w:sz="0" w:space="0" w:color="auto"/>
            <w:right w:val="none" w:sz="0" w:space="0" w:color="auto"/>
          </w:divBdr>
        </w:div>
        <w:div w:id="288051783">
          <w:marLeft w:val="0"/>
          <w:marRight w:val="0"/>
          <w:marTop w:val="0"/>
          <w:marBottom w:val="0"/>
          <w:divBdr>
            <w:top w:val="none" w:sz="0" w:space="0" w:color="auto"/>
            <w:left w:val="none" w:sz="0" w:space="0" w:color="auto"/>
            <w:bottom w:val="none" w:sz="0" w:space="0" w:color="auto"/>
            <w:right w:val="none" w:sz="0" w:space="0" w:color="auto"/>
          </w:divBdr>
        </w:div>
        <w:div w:id="609506802">
          <w:marLeft w:val="0"/>
          <w:marRight w:val="0"/>
          <w:marTop w:val="0"/>
          <w:marBottom w:val="0"/>
          <w:divBdr>
            <w:top w:val="none" w:sz="0" w:space="0" w:color="auto"/>
            <w:left w:val="none" w:sz="0" w:space="0" w:color="auto"/>
            <w:bottom w:val="none" w:sz="0" w:space="0" w:color="auto"/>
            <w:right w:val="none" w:sz="0" w:space="0" w:color="auto"/>
          </w:divBdr>
        </w:div>
        <w:div w:id="924344370">
          <w:marLeft w:val="0"/>
          <w:marRight w:val="0"/>
          <w:marTop w:val="0"/>
          <w:marBottom w:val="0"/>
          <w:divBdr>
            <w:top w:val="none" w:sz="0" w:space="0" w:color="auto"/>
            <w:left w:val="none" w:sz="0" w:space="0" w:color="auto"/>
            <w:bottom w:val="none" w:sz="0" w:space="0" w:color="auto"/>
            <w:right w:val="none" w:sz="0" w:space="0" w:color="auto"/>
          </w:divBdr>
        </w:div>
      </w:divsChild>
    </w:div>
    <w:div w:id="1430590170">
      <w:bodyDiv w:val="1"/>
      <w:marLeft w:val="0"/>
      <w:marRight w:val="0"/>
      <w:marTop w:val="0"/>
      <w:marBottom w:val="0"/>
      <w:divBdr>
        <w:top w:val="none" w:sz="0" w:space="0" w:color="auto"/>
        <w:left w:val="none" w:sz="0" w:space="0" w:color="auto"/>
        <w:bottom w:val="none" w:sz="0" w:space="0" w:color="auto"/>
        <w:right w:val="none" w:sz="0" w:space="0" w:color="auto"/>
      </w:divBdr>
    </w:div>
    <w:div w:id="20061297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dosw@sfgov.org" TargetMode="External"/><Relationship Id="rId1" Type="http://schemas.openxmlformats.org/officeDocument/2006/relationships/hyperlink" Target="http://www.sfgov.org/dosw"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49AD3-3CF2-4145-A633-15E098DF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927</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5991</CharactersWithSpaces>
  <SharedDoc>false</SharedDoc>
  <HLinks>
    <vt:vector size="12" baseType="variant">
      <vt:variant>
        <vt:i4>6291551</vt:i4>
      </vt:variant>
      <vt:variant>
        <vt:i4>6</vt:i4>
      </vt:variant>
      <vt:variant>
        <vt:i4>0</vt:i4>
      </vt:variant>
      <vt:variant>
        <vt:i4>5</vt:i4>
      </vt:variant>
      <vt:variant>
        <vt:lpwstr>mailto:dosw@sfgov.org</vt:lpwstr>
      </vt:variant>
      <vt:variant>
        <vt:lpwstr/>
      </vt:variant>
      <vt:variant>
        <vt:i4>5636165</vt:i4>
      </vt:variant>
      <vt:variant>
        <vt:i4>3</vt:i4>
      </vt:variant>
      <vt:variant>
        <vt:i4>0</vt:i4>
      </vt:variant>
      <vt:variant>
        <vt:i4>5</vt:i4>
      </vt:variant>
      <vt:variant>
        <vt:lpwstr>http://www.sfgov.org/dosw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DOSW</dc:creator>
  <cp:lastModifiedBy>Peterson, Kyoko (WOM)</cp:lastModifiedBy>
  <cp:revision>6</cp:revision>
  <cp:lastPrinted>2014-10-29T22:25:00Z</cp:lastPrinted>
  <dcterms:created xsi:type="dcterms:W3CDTF">2018-12-21T03:26:00Z</dcterms:created>
  <dcterms:modified xsi:type="dcterms:W3CDTF">2019-05-20T21:47:00Z</dcterms:modified>
</cp:coreProperties>
</file>