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2B" w:rsidRDefault="009D4E2B" w:rsidP="00BC7C20">
      <w:pPr>
        <w:rPr>
          <w:b/>
          <w:sz w:val="36"/>
          <w:szCs w:val="36"/>
        </w:rPr>
      </w:pPr>
      <w:bookmarkStart w:id="0" w:name="_GoBack"/>
      <w:bookmarkEnd w:id="0"/>
    </w:p>
    <w:p w:rsidR="00AC7D37" w:rsidRPr="00AD1A46" w:rsidRDefault="004E01CE" w:rsidP="00686B2E">
      <w:pPr>
        <w:pStyle w:val="BodyText2"/>
        <w:ind w:left="720" w:hanging="720"/>
        <w:jc w:val="center"/>
        <w:rPr>
          <w:rFonts w:ascii="Arial Narrow" w:hAnsi="Arial Narrow"/>
          <w:sz w:val="26"/>
          <w:szCs w:val="26"/>
        </w:rPr>
      </w:pPr>
      <w:r w:rsidRPr="00AD1A46">
        <w:rPr>
          <w:rFonts w:ascii="Arial Narrow" w:hAnsi="Arial Narrow"/>
          <w:sz w:val="26"/>
          <w:szCs w:val="26"/>
        </w:rPr>
        <w:t xml:space="preserve">Department of Elections: </w:t>
      </w:r>
      <w:r w:rsidR="00924ABA" w:rsidRPr="00AD1A46">
        <w:rPr>
          <w:rFonts w:ascii="Arial Narrow" w:hAnsi="Arial Narrow"/>
          <w:sz w:val="26"/>
          <w:szCs w:val="26"/>
        </w:rPr>
        <w:t>Proposed Budgets for FY 2015–16 and FY 2016–17</w:t>
      </w:r>
    </w:p>
    <w:p w:rsidR="00924ABA" w:rsidRPr="00C82375" w:rsidRDefault="00924ABA" w:rsidP="00686B2E">
      <w:pPr>
        <w:autoSpaceDE w:val="0"/>
        <w:autoSpaceDN w:val="0"/>
        <w:adjustRightInd w:val="0"/>
        <w:rPr>
          <w:rFonts w:ascii="Arial Narrow" w:hAnsi="Arial Narrow" w:cs="Arial"/>
          <w:spacing w:val="0"/>
          <w:sz w:val="24"/>
          <w:szCs w:val="24"/>
        </w:rPr>
      </w:pPr>
    </w:p>
    <w:p w:rsidR="00924ABA" w:rsidRPr="00C82375" w:rsidRDefault="002520E7" w:rsidP="00774578">
      <w:pPr>
        <w:pStyle w:val="ListParagraph"/>
        <w:numPr>
          <w:ilvl w:val="0"/>
          <w:numId w:val="11"/>
        </w:numPr>
        <w:autoSpaceDE w:val="0"/>
        <w:autoSpaceDN w:val="0"/>
        <w:adjustRightInd w:val="0"/>
        <w:rPr>
          <w:rFonts w:ascii="Arial Narrow" w:hAnsi="Arial Narrow" w:cs="Arial"/>
          <w:b/>
          <w:sz w:val="24"/>
          <w:szCs w:val="24"/>
          <w:u w:val="single"/>
        </w:rPr>
      </w:pPr>
      <w:r>
        <w:rPr>
          <w:rFonts w:ascii="Arial Narrow" w:hAnsi="Arial Narrow" w:cs="Arial"/>
          <w:b/>
          <w:sz w:val="24"/>
          <w:szCs w:val="24"/>
          <w:u w:val="single"/>
        </w:rPr>
        <w:t xml:space="preserve">Introduction </w:t>
      </w:r>
      <w:r w:rsidR="00924ABA" w:rsidRPr="00C82375">
        <w:rPr>
          <w:rFonts w:ascii="Arial Narrow" w:hAnsi="Arial Narrow" w:cs="Arial"/>
          <w:b/>
          <w:sz w:val="24"/>
          <w:szCs w:val="24"/>
          <w:u w:val="single"/>
        </w:rPr>
        <w:t xml:space="preserve"> </w:t>
      </w:r>
    </w:p>
    <w:p w:rsidR="002424AD" w:rsidRPr="00C82375" w:rsidRDefault="002424AD" w:rsidP="002424AD">
      <w:pPr>
        <w:rPr>
          <w:rFonts w:ascii="Arial Narrow" w:hAnsi="Arial Narrow"/>
          <w:sz w:val="24"/>
          <w:szCs w:val="24"/>
        </w:rPr>
      </w:pPr>
      <w:r w:rsidRPr="00C82375">
        <w:rPr>
          <w:rFonts w:ascii="Arial Narrow" w:hAnsi="Arial Narrow"/>
          <w:sz w:val="24"/>
          <w:szCs w:val="24"/>
        </w:rPr>
        <w:t xml:space="preserve">The mission of the Department </w:t>
      </w:r>
      <w:r w:rsidR="002520E7">
        <w:rPr>
          <w:rFonts w:ascii="Arial Narrow" w:hAnsi="Arial Narrow"/>
          <w:sz w:val="24"/>
          <w:szCs w:val="24"/>
        </w:rPr>
        <w:t xml:space="preserve">of Elections (Department) </w:t>
      </w:r>
      <w:r w:rsidRPr="00C82375">
        <w:rPr>
          <w:rFonts w:ascii="Arial Narrow" w:hAnsi="Arial Narrow"/>
          <w:sz w:val="24"/>
          <w:szCs w:val="24"/>
        </w:rPr>
        <w:t xml:space="preserve">is to conduct free, fair, and functional elections under the rules and regulations established by federal, state, and local laws; </w:t>
      </w:r>
      <w:r w:rsidR="00686B2E">
        <w:rPr>
          <w:rFonts w:ascii="Arial Narrow" w:hAnsi="Arial Narrow"/>
          <w:sz w:val="24"/>
          <w:szCs w:val="24"/>
        </w:rPr>
        <w:t xml:space="preserve">to </w:t>
      </w:r>
      <w:r w:rsidRPr="00C82375">
        <w:rPr>
          <w:rFonts w:ascii="Arial Narrow" w:hAnsi="Arial Narrow"/>
          <w:sz w:val="24"/>
          <w:szCs w:val="24"/>
        </w:rPr>
        <w:t xml:space="preserve">facilitate an open process that ensures public confidence in the election system; </w:t>
      </w:r>
      <w:r w:rsidR="00686B2E">
        <w:rPr>
          <w:rFonts w:ascii="Arial Narrow" w:hAnsi="Arial Narrow"/>
          <w:sz w:val="24"/>
          <w:szCs w:val="24"/>
        </w:rPr>
        <w:t xml:space="preserve">to </w:t>
      </w:r>
      <w:r w:rsidRPr="00C82375">
        <w:rPr>
          <w:rFonts w:ascii="Arial Narrow" w:hAnsi="Arial Narrow"/>
          <w:sz w:val="24"/>
          <w:szCs w:val="24"/>
        </w:rPr>
        <w:t xml:space="preserve">provide public outreach and education to all eligible voters in San Francisco; and </w:t>
      </w:r>
      <w:r w:rsidR="00686B2E">
        <w:rPr>
          <w:rFonts w:ascii="Arial Narrow" w:hAnsi="Arial Narrow"/>
          <w:sz w:val="24"/>
          <w:szCs w:val="24"/>
        </w:rPr>
        <w:t xml:space="preserve">to </w:t>
      </w:r>
      <w:r w:rsidR="00686B2E" w:rsidRPr="00C82375">
        <w:rPr>
          <w:rFonts w:ascii="Arial Narrow" w:hAnsi="Arial Narrow"/>
          <w:sz w:val="24"/>
          <w:szCs w:val="24"/>
        </w:rPr>
        <w:t>continu</w:t>
      </w:r>
      <w:r w:rsidR="00686B2E">
        <w:rPr>
          <w:rFonts w:ascii="Arial Narrow" w:hAnsi="Arial Narrow"/>
          <w:sz w:val="24"/>
          <w:szCs w:val="24"/>
        </w:rPr>
        <w:t>ously</w:t>
      </w:r>
      <w:r w:rsidR="00686B2E" w:rsidRPr="00C82375">
        <w:rPr>
          <w:rFonts w:ascii="Arial Narrow" w:hAnsi="Arial Narrow"/>
          <w:sz w:val="24"/>
          <w:szCs w:val="24"/>
        </w:rPr>
        <w:t xml:space="preserve"> </w:t>
      </w:r>
      <w:r w:rsidRPr="00C82375">
        <w:rPr>
          <w:rFonts w:ascii="Arial Narrow" w:hAnsi="Arial Narrow"/>
          <w:sz w:val="24"/>
          <w:szCs w:val="24"/>
        </w:rPr>
        <w:t>improve services and streamline processes in anticipation of the future needs of San Francisco’s voters.</w:t>
      </w:r>
    </w:p>
    <w:p w:rsidR="002424AD" w:rsidRPr="00C82375" w:rsidRDefault="002424AD" w:rsidP="00164772">
      <w:pPr>
        <w:rPr>
          <w:rFonts w:ascii="Arial Narrow" w:hAnsi="Arial Narrow"/>
          <w:sz w:val="24"/>
          <w:szCs w:val="24"/>
        </w:rPr>
      </w:pPr>
    </w:p>
    <w:p w:rsidR="002520E7" w:rsidRDefault="00164772" w:rsidP="002520E7">
      <w:pPr>
        <w:rPr>
          <w:rFonts w:ascii="Arial Narrow" w:hAnsi="Arial Narrow" w:cs="Arial"/>
          <w:spacing w:val="0"/>
          <w:sz w:val="24"/>
          <w:szCs w:val="24"/>
        </w:rPr>
      </w:pPr>
      <w:r w:rsidRPr="00C82375">
        <w:rPr>
          <w:rFonts w:ascii="Arial Narrow" w:hAnsi="Arial Narrow"/>
          <w:sz w:val="24"/>
          <w:szCs w:val="24"/>
        </w:rPr>
        <w:t>T</w:t>
      </w:r>
      <w:r w:rsidR="007C7022" w:rsidRPr="00C82375">
        <w:rPr>
          <w:rFonts w:ascii="Arial Narrow" w:hAnsi="Arial Narrow"/>
          <w:sz w:val="24"/>
          <w:szCs w:val="24"/>
        </w:rPr>
        <w:t xml:space="preserve">he number of elections </w:t>
      </w:r>
      <w:r w:rsidR="00891659">
        <w:rPr>
          <w:rFonts w:ascii="Arial Narrow" w:hAnsi="Arial Narrow"/>
          <w:sz w:val="24"/>
          <w:szCs w:val="24"/>
        </w:rPr>
        <w:t>scheduled</w:t>
      </w:r>
      <w:r w:rsidR="00891659" w:rsidRPr="00C82375">
        <w:rPr>
          <w:rFonts w:ascii="Arial Narrow" w:hAnsi="Arial Narrow"/>
          <w:sz w:val="24"/>
          <w:szCs w:val="24"/>
        </w:rPr>
        <w:t xml:space="preserve"> </w:t>
      </w:r>
      <w:r w:rsidR="007C7022" w:rsidRPr="00C82375">
        <w:rPr>
          <w:rFonts w:ascii="Arial Narrow" w:hAnsi="Arial Narrow"/>
          <w:sz w:val="24"/>
          <w:szCs w:val="24"/>
        </w:rPr>
        <w:t>in a fiscal year</w:t>
      </w:r>
      <w:r w:rsidR="002424AD" w:rsidRPr="00C82375">
        <w:rPr>
          <w:rFonts w:ascii="Arial Narrow" w:hAnsi="Arial Narrow"/>
          <w:sz w:val="24"/>
          <w:szCs w:val="24"/>
        </w:rPr>
        <w:t xml:space="preserve"> shape</w:t>
      </w:r>
      <w:r w:rsidR="00B860D0" w:rsidRPr="00C82375">
        <w:rPr>
          <w:rFonts w:ascii="Arial Narrow" w:hAnsi="Arial Narrow"/>
          <w:sz w:val="24"/>
          <w:szCs w:val="24"/>
        </w:rPr>
        <w:t>s</w:t>
      </w:r>
      <w:r w:rsidR="002424AD" w:rsidRPr="00C82375">
        <w:rPr>
          <w:rFonts w:ascii="Arial Narrow" w:hAnsi="Arial Narrow"/>
          <w:sz w:val="24"/>
          <w:szCs w:val="24"/>
        </w:rPr>
        <w:t xml:space="preserve"> the Department’s budgets</w:t>
      </w:r>
      <w:r w:rsidR="00891659">
        <w:rPr>
          <w:rFonts w:ascii="Arial Narrow" w:hAnsi="Arial Narrow"/>
          <w:sz w:val="24"/>
          <w:szCs w:val="24"/>
        </w:rPr>
        <w:t>,</w:t>
      </w:r>
      <w:r w:rsidR="002424AD" w:rsidRPr="00C82375">
        <w:rPr>
          <w:rFonts w:ascii="Arial Narrow" w:hAnsi="Arial Narrow"/>
          <w:sz w:val="24"/>
          <w:szCs w:val="24"/>
        </w:rPr>
        <w:t xml:space="preserve"> resulting in </w:t>
      </w:r>
      <w:r w:rsidR="00686B2E">
        <w:rPr>
          <w:rFonts w:ascii="Arial Narrow" w:hAnsi="Arial Narrow"/>
          <w:sz w:val="24"/>
          <w:szCs w:val="24"/>
        </w:rPr>
        <w:t>fluctuating</w:t>
      </w:r>
      <w:r w:rsidR="00B860D0" w:rsidRPr="00C82375">
        <w:rPr>
          <w:rFonts w:ascii="Arial Narrow" w:hAnsi="Arial Narrow"/>
          <w:sz w:val="24"/>
          <w:szCs w:val="24"/>
        </w:rPr>
        <w:t xml:space="preserve"> revenues and expenses </w:t>
      </w:r>
      <w:r w:rsidR="00891659">
        <w:rPr>
          <w:rFonts w:ascii="Arial Narrow" w:hAnsi="Arial Narrow"/>
          <w:sz w:val="24"/>
          <w:szCs w:val="24"/>
        </w:rPr>
        <w:t>from year to year</w:t>
      </w:r>
      <w:r w:rsidR="002424AD" w:rsidRPr="00C82375">
        <w:rPr>
          <w:rFonts w:ascii="Arial Narrow" w:hAnsi="Arial Narrow"/>
          <w:sz w:val="24"/>
          <w:szCs w:val="24"/>
        </w:rPr>
        <w:t>. A</w:t>
      </w:r>
      <w:r w:rsidRPr="00C82375">
        <w:rPr>
          <w:rFonts w:ascii="Arial Narrow" w:hAnsi="Arial Narrow"/>
          <w:sz w:val="24"/>
          <w:szCs w:val="24"/>
        </w:rPr>
        <w:t xml:space="preserve">ny election yields </w:t>
      </w:r>
      <w:r w:rsidRPr="00C82375">
        <w:rPr>
          <w:rFonts w:ascii="Arial Narrow" w:hAnsi="Arial Narrow" w:cs="Arial"/>
          <w:sz w:val="24"/>
          <w:szCs w:val="24"/>
        </w:rPr>
        <w:t>costs</w:t>
      </w:r>
      <w:r w:rsidR="002424AD" w:rsidRPr="00C82375">
        <w:rPr>
          <w:rFonts w:ascii="Arial Narrow" w:hAnsi="Arial Narrow" w:cs="Arial"/>
          <w:sz w:val="24"/>
          <w:szCs w:val="24"/>
        </w:rPr>
        <w:t xml:space="preserve"> associated with seasonal employee</w:t>
      </w:r>
      <w:r w:rsidR="00686B2E">
        <w:rPr>
          <w:rFonts w:ascii="Arial Narrow" w:hAnsi="Arial Narrow" w:cs="Arial"/>
          <w:sz w:val="24"/>
          <w:szCs w:val="24"/>
        </w:rPr>
        <w:t xml:space="preserve"> </w:t>
      </w:r>
      <w:r w:rsidR="002424AD" w:rsidRPr="00C82375">
        <w:rPr>
          <w:rFonts w:ascii="Arial Narrow" w:hAnsi="Arial Narrow" w:cs="Arial"/>
          <w:sz w:val="24"/>
          <w:szCs w:val="24"/>
        </w:rPr>
        <w:t>s</w:t>
      </w:r>
      <w:r w:rsidR="00686B2E">
        <w:rPr>
          <w:rFonts w:ascii="Arial Narrow" w:hAnsi="Arial Narrow" w:cs="Arial"/>
          <w:sz w:val="24"/>
          <w:szCs w:val="24"/>
        </w:rPr>
        <w:t>alaries</w:t>
      </w:r>
      <w:r w:rsidRPr="00C82375">
        <w:rPr>
          <w:rFonts w:ascii="Arial Narrow" w:hAnsi="Arial Narrow" w:cs="Arial"/>
          <w:sz w:val="24"/>
          <w:szCs w:val="24"/>
        </w:rPr>
        <w:t xml:space="preserve">, professional services, postage, poll worker and polling place provider stipends, </w:t>
      </w:r>
      <w:r w:rsidR="00686B2E">
        <w:rPr>
          <w:rFonts w:ascii="Arial Narrow" w:hAnsi="Arial Narrow" w:cs="Arial"/>
          <w:sz w:val="24"/>
          <w:szCs w:val="24"/>
        </w:rPr>
        <w:t>facility</w:t>
      </w:r>
      <w:r w:rsidR="00686B2E" w:rsidRPr="00C82375">
        <w:rPr>
          <w:rFonts w:ascii="Arial Narrow" w:hAnsi="Arial Narrow" w:cs="Arial"/>
          <w:sz w:val="24"/>
          <w:szCs w:val="24"/>
        </w:rPr>
        <w:t xml:space="preserve"> </w:t>
      </w:r>
      <w:r w:rsidRPr="00C82375">
        <w:rPr>
          <w:rFonts w:ascii="Arial Narrow" w:hAnsi="Arial Narrow" w:cs="Arial"/>
          <w:sz w:val="24"/>
          <w:szCs w:val="24"/>
        </w:rPr>
        <w:t>and vehicle rentals, and work order expenses</w:t>
      </w:r>
      <w:r w:rsidR="002424AD" w:rsidRPr="00C82375">
        <w:rPr>
          <w:rFonts w:ascii="Arial Narrow" w:hAnsi="Arial Narrow" w:cs="Arial"/>
          <w:sz w:val="24"/>
          <w:szCs w:val="24"/>
        </w:rPr>
        <w:t xml:space="preserve">, and generates revenues </w:t>
      </w:r>
      <w:r w:rsidR="002424AD" w:rsidRPr="00C82375">
        <w:rPr>
          <w:rFonts w:ascii="Arial Narrow" w:hAnsi="Arial Narrow" w:cs="Arial"/>
          <w:spacing w:val="0"/>
          <w:sz w:val="24"/>
          <w:szCs w:val="24"/>
        </w:rPr>
        <w:t xml:space="preserve">from the </w:t>
      </w:r>
      <w:r w:rsidR="00891659">
        <w:rPr>
          <w:rFonts w:ascii="Arial Narrow" w:hAnsi="Arial Narrow" w:cs="Arial"/>
          <w:spacing w:val="0"/>
          <w:sz w:val="24"/>
          <w:szCs w:val="24"/>
        </w:rPr>
        <w:t xml:space="preserve">fees related to </w:t>
      </w:r>
      <w:r w:rsidR="002424AD" w:rsidRPr="00C82375">
        <w:rPr>
          <w:rFonts w:ascii="Arial Narrow" w:hAnsi="Arial Narrow" w:cs="Arial"/>
          <w:spacing w:val="0"/>
          <w:sz w:val="24"/>
          <w:szCs w:val="24"/>
        </w:rPr>
        <w:t>candidate filing and statement</w:t>
      </w:r>
      <w:r w:rsidR="00891659">
        <w:rPr>
          <w:rFonts w:ascii="Arial Narrow" w:hAnsi="Arial Narrow" w:cs="Arial"/>
          <w:spacing w:val="0"/>
          <w:sz w:val="24"/>
          <w:szCs w:val="24"/>
        </w:rPr>
        <w:t>s</w:t>
      </w:r>
      <w:r w:rsidR="002424AD" w:rsidRPr="00C82375">
        <w:rPr>
          <w:rFonts w:ascii="Arial Narrow" w:hAnsi="Arial Narrow" w:cs="Arial"/>
          <w:spacing w:val="0"/>
          <w:sz w:val="24"/>
          <w:szCs w:val="24"/>
        </w:rPr>
        <w:t xml:space="preserve"> and ballot argument</w:t>
      </w:r>
      <w:r w:rsidR="00891659">
        <w:rPr>
          <w:rFonts w:ascii="Arial Narrow" w:hAnsi="Arial Narrow" w:cs="Arial"/>
          <w:spacing w:val="0"/>
          <w:sz w:val="24"/>
          <w:szCs w:val="24"/>
        </w:rPr>
        <w:t>s</w:t>
      </w:r>
      <w:r w:rsidR="002424AD" w:rsidRPr="00C82375">
        <w:rPr>
          <w:rFonts w:ascii="Arial Narrow" w:hAnsi="Arial Narrow" w:cs="Arial"/>
          <w:spacing w:val="0"/>
          <w:sz w:val="24"/>
          <w:szCs w:val="24"/>
        </w:rPr>
        <w:t>.</w:t>
      </w:r>
      <w:r w:rsidR="002C5104" w:rsidRPr="00C82375">
        <w:rPr>
          <w:rFonts w:ascii="Arial Narrow" w:hAnsi="Arial Narrow" w:cs="Arial"/>
          <w:spacing w:val="0"/>
          <w:sz w:val="24"/>
          <w:szCs w:val="24"/>
        </w:rPr>
        <w:t xml:space="preserve"> However, the Department’s baseline costs </w:t>
      </w:r>
      <w:r w:rsidR="002C5104" w:rsidRPr="00C82375">
        <w:rPr>
          <w:rFonts w:ascii="Arial Narrow" w:hAnsi="Arial Narrow"/>
          <w:sz w:val="24"/>
          <w:szCs w:val="24"/>
        </w:rPr>
        <w:t xml:space="preserve">associated with salaries and fringe benefits of Permanent Civil Service employees, contractual obligations for services such as voting equipment maintenance, software licensing, warehouse rental, </w:t>
      </w:r>
      <w:r w:rsidR="00891659">
        <w:rPr>
          <w:rFonts w:ascii="Arial Narrow" w:hAnsi="Arial Narrow"/>
          <w:sz w:val="24"/>
          <w:szCs w:val="24"/>
        </w:rPr>
        <w:t xml:space="preserve">and </w:t>
      </w:r>
      <w:r w:rsidR="002C5104" w:rsidRPr="00C82375">
        <w:rPr>
          <w:rFonts w:ascii="Arial Narrow" w:hAnsi="Arial Narrow"/>
          <w:sz w:val="24"/>
          <w:szCs w:val="24"/>
        </w:rPr>
        <w:t xml:space="preserve">work orders with </w:t>
      </w:r>
      <w:r w:rsidR="00270DA3">
        <w:rPr>
          <w:rFonts w:ascii="Arial Narrow" w:hAnsi="Arial Narrow"/>
          <w:sz w:val="24"/>
          <w:szCs w:val="24"/>
        </w:rPr>
        <w:t xml:space="preserve">some </w:t>
      </w:r>
      <w:r w:rsidR="002C5104" w:rsidRPr="00C82375">
        <w:rPr>
          <w:rFonts w:ascii="Arial Narrow" w:hAnsi="Arial Narrow"/>
          <w:sz w:val="24"/>
          <w:szCs w:val="24"/>
        </w:rPr>
        <w:t>City departments remain consistent</w:t>
      </w:r>
      <w:r w:rsidR="00891659">
        <w:rPr>
          <w:rFonts w:ascii="Arial Narrow" w:hAnsi="Arial Narrow"/>
          <w:sz w:val="24"/>
          <w:szCs w:val="24"/>
        </w:rPr>
        <w:t>,</w:t>
      </w:r>
      <w:r w:rsidR="002C5104" w:rsidRPr="00C82375">
        <w:rPr>
          <w:rFonts w:ascii="Arial Narrow" w:hAnsi="Arial Narrow"/>
          <w:sz w:val="24"/>
          <w:szCs w:val="24"/>
        </w:rPr>
        <w:t xml:space="preserve"> </w:t>
      </w:r>
      <w:r w:rsidR="002C5104" w:rsidRPr="00C82375">
        <w:rPr>
          <w:rFonts w:ascii="Arial Narrow" w:hAnsi="Arial Narrow" w:cs="Arial"/>
          <w:spacing w:val="0"/>
          <w:sz w:val="24"/>
          <w:szCs w:val="24"/>
        </w:rPr>
        <w:t>with the exception of one-time expenditures (</w:t>
      </w:r>
      <w:r w:rsidR="00891659">
        <w:rPr>
          <w:rFonts w:ascii="Arial Narrow" w:hAnsi="Arial Narrow" w:cs="Arial"/>
          <w:spacing w:val="0"/>
          <w:sz w:val="24"/>
          <w:szCs w:val="24"/>
        </w:rPr>
        <w:t>e.g.</w:t>
      </w:r>
      <w:r w:rsidR="002C5104" w:rsidRPr="00C82375">
        <w:rPr>
          <w:rFonts w:ascii="Arial Narrow" w:hAnsi="Arial Narrow" w:cs="Arial"/>
          <w:spacing w:val="0"/>
          <w:sz w:val="24"/>
          <w:szCs w:val="24"/>
        </w:rPr>
        <w:t xml:space="preserve">, </w:t>
      </w:r>
      <w:r w:rsidR="00891659">
        <w:rPr>
          <w:rFonts w:ascii="Arial Narrow" w:hAnsi="Arial Narrow" w:cs="Arial"/>
          <w:spacing w:val="0"/>
          <w:sz w:val="24"/>
          <w:szCs w:val="24"/>
        </w:rPr>
        <w:t xml:space="preserve">the </w:t>
      </w:r>
      <w:r w:rsidR="002C5104" w:rsidRPr="00C82375">
        <w:rPr>
          <w:rFonts w:ascii="Arial Narrow" w:hAnsi="Arial Narrow" w:cs="Arial"/>
          <w:spacing w:val="0"/>
          <w:sz w:val="24"/>
          <w:szCs w:val="24"/>
        </w:rPr>
        <w:t xml:space="preserve">relocation of </w:t>
      </w:r>
      <w:r w:rsidR="00891659">
        <w:rPr>
          <w:rFonts w:ascii="Arial Narrow" w:hAnsi="Arial Narrow" w:cs="Arial"/>
          <w:spacing w:val="0"/>
          <w:sz w:val="24"/>
          <w:szCs w:val="24"/>
        </w:rPr>
        <w:t>the Department’s w</w:t>
      </w:r>
      <w:r w:rsidR="002C5104" w:rsidRPr="00C82375">
        <w:rPr>
          <w:rFonts w:ascii="Arial Narrow" w:hAnsi="Arial Narrow" w:cs="Arial"/>
          <w:spacing w:val="0"/>
          <w:sz w:val="24"/>
          <w:szCs w:val="24"/>
        </w:rPr>
        <w:t>arehouse).</w:t>
      </w:r>
    </w:p>
    <w:p w:rsidR="00462A65" w:rsidRDefault="00462A65" w:rsidP="002520E7">
      <w:pPr>
        <w:rPr>
          <w:rFonts w:ascii="Arial Narrow" w:hAnsi="Arial Narrow" w:cs="Arial"/>
          <w:spacing w:val="0"/>
          <w:sz w:val="24"/>
          <w:szCs w:val="24"/>
        </w:rPr>
      </w:pPr>
    </w:p>
    <w:p w:rsidR="002520E7" w:rsidRPr="00C82375" w:rsidRDefault="002520E7" w:rsidP="002520E7">
      <w:pPr>
        <w:autoSpaceDE w:val="0"/>
        <w:autoSpaceDN w:val="0"/>
        <w:adjustRightInd w:val="0"/>
        <w:rPr>
          <w:rFonts w:ascii="Arial Narrow" w:hAnsi="Arial Narrow" w:cs="Arial"/>
          <w:spacing w:val="0"/>
          <w:sz w:val="24"/>
          <w:szCs w:val="24"/>
        </w:rPr>
      </w:pPr>
      <w:r>
        <w:rPr>
          <w:rFonts w:ascii="Arial Narrow" w:hAnsi="Arial Narrow" w:cs="Arial"/>
          <w:sz w:val="24"/>
          <w:szCs w:val="24"/>
        </w:rPr>
        <w:t xml:space="preserve">Following is </w:t>
      </w:r>
      <w:r w:rsidRPr="00C82375">
        <w:rPr>
          <w:rFonts w:ascii="Arial Narrow" w:hAnsi="Arial Narrow" w:cs="Arial"/>
          <w:sz w:val="24"/>
          <w:szCs w:val="24"/>
        </w:rPr>
        <w:t xml:space="preserve">information </w:t>
      </w:r>
      <w:r w:rsidR="00686B2E">
        <w:rPr>
          <w:rFonts w:ascii="Arial Narrow" w:hAnsi="Arial Narrow" w:cs="Arial"/>
          <w:sz w:val="24"/>
          <w:szCs w:val="24"/>
        </w:rPr>
        <w:t>about</w:t>
      </w:r>
      <w:r w:rsidR="00686B2E" w:rsidRPr="00C82375">
        <w:rPr>
          <w:rFonts w:ascii="Arial Narrow" w:hAnsi="Arial Narrow" w:cs="Arial"/>
          <w:sz w:val="24"/>
          <w:szCs w:val="24"/>
        </w:rPr>
        <w:t xml:space="preserve"> </w:t>
      </w:r>
      <w:r w:rsidRPr="00C82375">
        <w:rPr>
          <w:rFonts w:ascii="Arial Narrow" w:hAnsi="Arial Narrow" w:cs="Arial"/>
          <w:sz w:val="24"/>
          <w:szCs w:val="24"/>
        </w:rPr>
        <w:t xml:space="preserve">the </w:t>
      </w:r>
      <w:r>
        <w:rPr>
          <w:rFonts w:ascii="Arial Narrow" w:hAnsi="Arial Narrow" w:cs="Arial"/>
          <w:spacing w:val="0"/>
          <w:sz w:val="24"/>
          <w:szCs w:val="24"/>
        </w:rPr>
        <w:t>Department</w:t>
      </w:r>
      <w:r w:rsidR="00686B2E">
        <w:rPr>
          <w:rFonts w:ascii="Arial Narrow" w:hAnsi="Arial Narrow" w:cs="Arial"/>
          <w:spacing w:val="0"/>
          <w:sz w:val="24"/>
          <w:szCs w:val="24"/>
        </w:rPr>
        <w:t>’s</w:t>
      </w:r>
      <w:r w:rsidRPr="00C82375">
        <w:rPr>
          <w:rFonts w:ascii="Arial Narrow" w:hAnsi="Arial Narrow" w:cs="Arial"/>
          <w:spacing w:val="0"/>
          <w:sz w:val="24"/>
          <w:szCs w:val="24"/>
        </w:rPr>
        <w:t xml:space="preserve"> proposed budgets for FY 2015-16 and FY 2016-17</w:t>
      </w:r>
      <w:r w:rsidR="00686B2E">
        <w:rPr>
          <w:rFonts w:ascii="Arial Narrow" w:hAnsi="Arial Narrow" w:cs="Arial"/>
          <w:spacing w:val="0"/>
          <w:sz w:val="24"/>
          <w:szCs w:val="24"/>
        </w:rPr>
        <w:t>;</w:t>
      </w:r>
      <w:r w:rsidR="00AD1A46">
        <w:rPr>
          <w:rFonts w:ascii="Arial Narrow" w:hAnsi="Arial Narrow" w:cs="Arial"/>
          <w:spacing w:val="0"/>
          <w:sz w:val="24"/>
          <w:szCs w:val="24"/>
        </w:rPr>
        <w:t xml:space="preserve"> </w:t>
      </w:r>
      <w:r w:rsidR="00686B2E">
        <w:rPr>
          <w:rFonts w:ascii="Arial Narrow" w:hAnsi="Arial Narrow" w:cs="Arial"/>
          <w:spacing w:val="0"/>
          <w:sz w:val="24"/>
          <w:szCs w:val="24"/>
        </w:rPr>
        <w:t>it</w:t>
      </w:r>
      <w:r w:rsidRPr="00C82375">
        <w:rPr>
          <w:rFonts w:ascii="Arial Narrow" w:hAnsi="Arial Narrow" w:cs="Arial"/>
          <w:spacing w:val="0"/>
          <w:sz w:val="24"/>
          <w:szCs w:val="24"/>
        </w:rPr>
        <w:t xml:space="preserve"> is intended to serve as a guide for reviewing Form 2B and Form 3A of the enclosed budget packet. The aforementioned forms contain the Department’s projections for revenues and expenditures</w:t>
      </w:r>
      <w:r>
        <w:rPr>
          <w:rFonts w:ascii="Arial Narrow" w:hAnsi="Arial Narrow" w:cs="Arial"/>
          <w:spacing w:val="0"/>
          <w:sz w:val="24"/>
          <w:szCs w:val="24"/>
        </w:rPr>
        <w:t>,</w:t>
      </w:r>
      <w:r w:rsidRPr="00C82375">
        <w:rPr>
          <w:rFonts w:ascii="Arial Narrow" w:hAnsi="Arial Narrow" w:cs="Arial"/>
          <w:spacing w:val="0"/>
          <w:sz w:val="24"/>
          <w:szCs w:val="24"/>
        </w:rPr>
        <w:t xml:space="preserve"> respectively.  </w:t>
      </w:r>
    </w:p>
    <w:p w:rsidR="006822C2" w:rsidRPr="00C82375" w:rsidRDefault="006822C2" w:rsidP="00924ABA">
      <w:pPr>
        <w:rPr>
          <w:rFonts w:ascii="Arial Narrow" w:hAnsi="Arial Narrow" w:cs="Arial"/>
          <w:b/>
          <w:spacing w:val="0"/>
          <w:sz w:val="24"/>
          <w:szCs w:val="24"/>
          <w:u w:val="single"/>
        </w:rPr>
      </w:pPr>
    </w:p>
    <w:p w:rsidR="00924ABA" w:rsidRPr="00C82375" w:rsidRDefault="00924ABA" w:rsidP="00774578">
      <w:pPr>
        <w:pStyle w:val="ListParagraph"/>
        <w:numPr>
          <w:ilvl w:val="0"/>
          <w:numId w:val="11"/>
        </w:numPr>
        <w:rPr>
          <w:rFonts w:ascii="Arial Narrow" w:hAnsi="Arial Narrow" w:cs="Arial"/>
          <w:b/>
          <w:sz w:val="24"/>
          <w:szCs w:val="24"/>
          <w:u w:val="single"/>
        </w:rPr>
      </w:pPr>
      <w:r w:rsidRPr="00C82375">
        <w:rPr>
          <w:rFonts w:ascii="Arial Narrow" w:hAnsi="Arial Narrow" w:cs="Arial"/>
          <w:b/>
          <w:sz w:val="24"/>
          <w:szCs w:val="24"/>
          <w:u w:val="single"/>
        </w:rPr>
        <w:t>Year One: FY 2015</w:t>
      </w:r>
      <w:r w:rsidRPr="00C82375">
        <w:rPr>
          <w:rFonts w:ascii="Arial Narrow" w:hAnsi="Arial Narrow" w:cs="Arial"/>
          <w:sz w:val="24"/>
          <w:szCs w:val="24"/>
          <w:u w:val="single"/>
        </w:rPr>
        <w:t>–</w:t>
      </w:r>
      <w:r w:rsidRPr="00C82375">
        <w:rPr>
          <w:rFonts w:ascii="Arial Narrow" w:hAnsi="Arial Narrow" w:cs="Arial"/>
          <w:b/>
          <w:sz w:val="24"/>
          <w:szCs w:val="24"/>
          <w:u w:val="single"/>
        </w:rPr>
        <w:t>16</w:t>
      </w:r>
    </w:p>
    <w:p w:rsidR="00316FA7" w:rsidRDefault="00924ABA" w:rsidP="0065311D">
      <w:pPr>
        <w:rPr>
          <w:rFonts w:ascii="Arial Narrow" w:hAnsi="Arial Narrow" w:cs="Arial"/>
          <w:spacing w:val="0"/>
          <w:sz w:val="24"/>
          <w:szCs w:val="24"/>
        </w:rPr>
      </w:pPr>
      <w:r w:rsidRPr="00C82375">
        <w:rPr>
          <w:rFonts w:ascii="Arial Narrow" w:hAnsi="Arial Narrow" w:cs="Arial"/>
          <w:sz w:val="24"/>
          <w:szCs w:val="24"/>
        </w:rPr>
        <w:t>The Department’s proposed $</w:t>
      </w:r>
      <w:r w:rsidR="006F776D" w:rsidRPr="00C82375">
        <w:rPr>
          <w:rFonts w:ascii="Arial Narrow" w:hAnsi="Arial Narrow" w:cs="Arial"/>
          <w:sz w:val="24"/>
          <w:szCs w:val="24"/>
        </w:rPr>
        <w:t>21,56</w:t>
      </w:r>
      <w:r w:rsidR="00BD66C5">
        <w:rPr>
          <w:rFonts w:ascii="Arial Narrow" w:hAnsi="Arial Narrow" w:cs="Arial"/>
          <w:sz w:val="24"/>
          <w:szCs w:val="24"/>
        </w:rPr>
        <w:t>9</w:t>
      </w:r>
      <w:r w:rsidR="006F776D" w:rsidRPr="00C82375">
        <w:rPr>
          <w:rFonts w:ascii="Arial Narrow" w:hAnsi="Arial Narrow" w:cs="Arial"/>
          <w:sz w:val="24"/>
          <w:szCs w:val="24"/>
        </w:rPr>
        <w:t>,034</w:t>
      </w:r>
      <w:r w:rsidRPr="00C82375">
        <w:rPr>
          <w:rFonts w:ascii="Arial Narrow" w:hAnsi="Arial Narrow" w:cs="Arial"/>
          <w:sz w:val="24"/>
          <w:szCs w:val="24"/>
        </w:rPr>
        <w:t xml:space="preserve"> budget </w:t>
      </w:r>
      <w:r w:rsidR="00B860D0" w:rsidRPr="00C82375">
        <w:rPr>
          <w:rFonts w:ascii="Arial Narrow" w:hAnsi="Arial Narrow" w:cs="Arial"/>
          <w:spacing w:val="0"/>
          <w:sz w:val="24"/>
          <w:szCs w:val="24"/>
        </w:rPr>
        <w:t>assume</w:t>
      </w:r>
      <w:r w:rsidR="00891659">
        <w:rPr>
          <w:rFonts w:ascii="Arial Narrow" w:hAnsi="Arial Narrow" w:cs="Arial"/>
          <w:spacing w:val="0"/>
          <w:sz w:val="24"/>
          <w:szCs w:val="24"/>
        </w:rPr>
        <w:t>s</w:t>
      </w:r>
      <w:r w:rsidR="00B860D0" w:rsidRPr="00C82375">
        <w:rPr>
          <w:rFonts w:ascii="Arial Narrow" w:hAnsi="Arial Narrow" w:cs="Arial"/>
          <w:spacing w:val="0"/>
          <w:sz w:val="24"/>
          <w:szCs w:val="24"/>
        </w:rPr>
        <w:t xml:space="preserve"> two scheduled elections in FY 2015-16</w:t>
      </w:r>
      <w:r w:rsidR="00891659">
        <w:rPr>
          <w:rFonts w:ascii="Arial Narrow" w:hAnsi="Arial Narrow" w:cs="Arial"/>
          <w:spacing w:val="0"/>
          <w:sz w:val="24"/>
          <w:szCs w:val="24"/>
        </w:rPr>
        <w:t xml:space="preserve">: the </w:t>
      </w:r>
      <w:r w:rsidR="00B860D0" w:rsidRPr="00C82375">
        <w:rPr>
          <w:rFonts w:ascii="Arial Narrow" w:hAnsi="Arial Narrow" w:cs="Arial"/>
          <w:spacing w:val="0"/>
          <w:sz w:val="24"/>
          <w:szCs w:val="24"/>
        </w:rPr>
        <w:t xml:space="preserve">November 2015 Municipal Election and </w:t>
      </w:r>
      <w:r w:rsidR="00891659">
        <w:rPr>
          <w:rFonts w:ascii="Arial Narrow" w:hAnsi="Arial Narrow" w:cs="Arial"/>
          <w:spacing w:val="0"/>
          <w:sz w:val="24"/>
          <w:szCs w:val="24"/>
        </w:rPr>
        <w:t xml:space="preserve">the </w:t>
      </w:r>
      <w:r w:rsidR="00B860D0" w:rsidRPr="00C82375">
        <w:rPr>
          <w:rFonts w:ascii="Arial Narrow" w:hAnsi="Arial Narrow" w:cs="Arial"/>
          <w:spacing w:val="0"/>
          <w:sz w:val="24"/>
          <w:szCs w:val="24"/>
        </w:rPr>
        <w:t xml:space="preserve">June 2016 Consolidated Presidential Primary Election. </w:t>
      </w:r>
    </w:p>
    <w:p w:rsidR="00316FA7" w:rsidRDefault="00316FA7" w:rsidP="0065311D">
      <w:pPr>
        <w:rPr>
          <w:rFonts w:ascii="Arial Narrow" w:hAnsi="Arial Narrow" w:cs="Arial"/>
          <w:spacing w:val="0"/>
          <w:sz w:val="24"/>
          <w:szCs w:val="24"/>
        </w:rPr>
      </w:pPr>
    </w:p>
    <w:p w:rsidR="0065311D" w:rsidRPr="00C82375" w:rsidRDefault="00887A2A" w:rsidP="0065311D">
      <w:pPr>
        <w:rPr>
          <w:rFonts w:ascii="Arial Narrow" w:hAnsi="Arial Narrow" w:cs="Arial"/>
          <w:sz w:val="24"/>
          <w:szCs w:val="24"/>
        </w:rPr>
      </w:pPr>
      <w:r w:rsidRPr="00C82375">
        <w:rPr>
          <w:rFonts w:ascii="Arial Narrow" w:hAnsi="Arial Narrow" w:cs="Arial"/>
          <w:spacing w:val="0"/>
          <w:sz w:val="24"/>
          <w:szCs w:val="24"/>
        </w:rPr>
        <w:t xml:space="preserve">The expenses contemplated in the budget are necessary to ensure </w:t>
      </w:r>
      <w:r w:rsidR="00B860D0" w:rsidRPr="00C82375">
        <w:rPr>
          <w:rFonts w:ascii="Arial Narrow" w:hAnsi="Arial Narrow" w:cs="Arial"/>
          <w:sz w:val="24"/>
          <w:szCs w:val="24"/>
        </w:rPr>
        <w:t>services required to facilitate voting for approximately 450,000 San Francisco registrants in each election</w:t>
      </w:r>
      <w:r w:rsidRPr="00C82375">
        <w:rPr>
          <w:rFonts w:ascii="Arial Narrow" w:hAnsi="Arial Narrow" w:cs="Arial"/>
          <w:sz w:val="24"/>
          <w:szCs w:val="24"/>
        </w:rPr>
        <w:t>.</w:t>
      </w:r>
      <w:r w:rsidR="0065311D" w:rsidRPr="00C82375">
        <w:rPr>
          <w:rFonts w:ascii="Arial Narrow" w:hAnsi="Arial Narrow" w:cs="Arial"/>
          <w:sz w:val="24"/>
          <w:szCs w:val="24"/>
        </w:rPr>
        <w:t xml:space="preserve"> </w:t>
      </w:r>
      <w:r w:rsidRPr="00C82375">
        <w:rPr>
          <w:rFonts w:ascii="Arial Narrow" w:hAnsi="Arial Narrow" w:cs="Arial"/>
          <w:sz w:val="24"/>
          <w:szCs w:val="24"/>
        </w:rPr>
        <w:t xml:space="preserve">For the November 2015 election, the Department will </w:t>
      </w:r>
      <w:r w:rsidR="0065311D" w:rsidRPr="00C82375">
        <w:rPr>
          <w:rFonts w:ascii="Arial Narrow" w:hAnsi="Arial Narrow" w:cs="Arial"/>
          <w:sz w:val="24"/>
          <w:szCs w:val="24"/>
        </w:rPr>
        <w:t xml:space="preserve">consolidate polling places and </w:t>
      </w:r>
      <w:r w:rsidRPr="00C82375">
        <w:rPr>
          <w:rFonts w:ascii="Arial Narrow" w:hAnsi="Arial Narrow" w:cs="Arial"/>
          <w:sz w:val="24"/>
          <w:szCs w:val="24"/>
        </w:rPr>
        <w:t xml:space="preserve">support approximately 420 </w:t>
      </w:r>
      <w:r w:rsidR="0065311D" w:rsidRPr="00C82375">
        <w:rPr>
          <w:rFonts w:ascii="Arial Narrow" w:hAnsi="Arial Narrow" w:cs="Arial"/>
          <w:sz w:val="24"/>
          <w:szCs w:val="24"/>
        </w:rPr>
        <w:t xml:space="preserve">sites and over 2,500 poll workers </w:t>
      </w:r>
      <w:r w:rsidR="00891659">
        <w:rPr>
          <w:rFonts w:ascii="Arial Narrow" w:hAnsi="Arial Narrow" w:cs="Arial"/>
          <w:sz w:val="24"/>
          <w:szCs w:val="24"/>
        </w:rPr>
        <w:t>who</w:t>
      </w:r>
      <w:r w:rsidR="0065311D" w:rsidRPr="00C82375">
        <w:rPr>
          <w:rFonts w:ascii="Arial Narrow" w:hAnsi="Arial Narrow" w:cs="Arial"/>
          <w:sz w:val="24"/>
          <w:szCs w:val="24"/>
        </w:rPr>
        <w:t xml:space="preserve"> administer voting on Election Day. </w:t>
      </w:r>
      <w:r w:rsidR="00891659">
        <w:rPr>
          <w:rFonts w:ascii="Arial Narrow" w:hAnsi="Arial Narrow" w:cs="Arial"/>
          <w:sz w:val="24"/>
          <w:szCs w:val="24"/>
        </w:rPr>
        <w:t>S</w:t>
      </w:r>
      <w:r w:rsidR="0065311D" w:rsidRPr="00C82375">
        <w:rPr>
          <w:rFonts w:ascii="Arial Narrow" w:hAnsi="Arial Narrow" w:cs="Arial"/>
          <w:sz w:val="24"/>
          <w:szCs w:val="24"/>
        </w:rPr>
        <w:t xml:space="preserve">tate law </w:t>
      </w:r>
      <w:r w:rsidR="00891659">
        <w:rPr>
          <w:rFonts w:ascii="Arial Narrow" w:hAnsi="Arial Narrow" w:cs="Arial"/>
          <w:sz w:val="24"/>
          <w:szCs w:val="24"/>
        </w:rPr>
        <w:t xml:space="preserve">allows </w:t>
      </w:r>
      <w:r w:rsidR="0065311D" w:rsidRPr="00C82375">
        <w:rPr>
          <w:rFonts w:ascii="Arial Narrow" w:hAnsi="Arial Narrow" w:cs="Arial"/>
          <w:sz w:val="24"/>
          <w:szCs w:val="24"/>
        </w:rPr>
        <w:t>the consolidation of polling places only for municipal elections</w:t>
      </w:r>
      <w:r w:rsidR="00891659">
        <w:rPr>
          <w:rFonts w:ascii="Arial Narrow" w:hAnsi="Arial Narrow" w:cs="Arial"/>
          <w:sz w:val="24"/>
          <w:szCs w:val="24"/>
        </w:rPr>
        <w:t>;</w:t>
      </w:r>
      <w:r w:rsidR="00891659" w:rsidRPr="00C82375">
        <w:rPr>
          <w:rFonts w:ascii="Arial Narrow" w:hAnsi="Arial Narrow" w:cs="Arial"/>
          <w:sz w:val="24"/>
          <w:szCs w:val="24"/>
        </w:rPr>
        <w:t xml:space="preserve"> </w:t>
      </w:r>
      <w:r w:rsidR="0065311D" w:rsidRPr="00C82375">
        <w:rPr>
          <w:rFonts w:ascii="Arial Narrow" w:hAnsi="Arial Narrow" w:cs="Arial"/>
          <w:sz w:val="24"/>
          <w:szCs w:val="24"/>
        </w:rPr>
        <w:t>thus the Department will return to a full allotment of voting precincts and poll worker</w:t>
      </w:r>
      <w:r w:rsidR="00891659">
        <w:rPr>
          <w:rFonts w:ascii="Arial Narrow" w:hAnsi="Arial Narrow" w:cs="Arial"/>
          <w:sz w:val="24"/>
          <w:szCs w:val="24"/>
        </w:rPr>
        <w:t>s—</w:t>
      </w:r>
      <w:r w:rsidR="0065311D" w:rsidRPr="00C82375">
        <w:rPr>
          <w:rFonts w:ascii="Arial Narrow" w:hAnsi="Arial Narrow" w:cs="Arial"/>
          <w:sz w:val="24"/>
          <w:szCs w:val="24"/>
        </w:rPr>
        <w:t>576 and 3,000</w:t>
      </w:r>
      <w:r w:rsidR="00891659">
        <w:rPr>
          <w:rFonts w:ascii="Arial Narrow" w:hAnsi="Arial Narrow" w:cs="Arial"/>
          <w:sz w:val="24"/>
          <w:szCs w:val="24"/>
        </w:rPr>
        <w:t>,</w:t>
      </w:r>
      <w:r w:rsidR="0065311D" w:rsidRPr="00C82375">
        <w:rPr>
          <w:rFonts w:ascii="Arial Narrow" w:hAnsi="Arial Narrow" w:cs="Arial"/>
          <w:sz w:val="24"/>
          <w:szCs w:val="24"/>
        </w:rPr>
        <w:t xml:space="preserve"> respectively</w:t>
      </w:r>
      <w:r w:rsidR="00891659">
        <w:rPr>
          <w:rFonts w:ascii="Arial Narrow" w:hAnsi="Arial Narrow" w:cs="Arial"/>
          <w:sz w:val="24"/>
          <w:szCs w:val="24"/>
        </w:rPr>
        <w:t>—</w:t>
      </w:r>
      <w:r w:rsidR="0065311D" w:rsidRPr="00C82375">
        <w:rPr>
          <w:rFonts w:ascii="Arial Narrow" w:hAnsi="Arial Narrow" w:cs="Arial"/>
          <w:sz w:val="24"/>
          <w:szCs w:val="24"/>
        </w:rPr>
        <w:t xml:space="preserve">for the June 2016 </w:t>
      </w:r>
      <w:r w:rsidR="00891659">
        <w:rPr>
          <w:rFonts w:ascii="Arial Narrow" w:hAnsi="Arial Narrow" w:cs="Arial"/>
          <w:sz w:val="24"/>
          <w:szCs w:val="24"/>
        </w:rPr>
        <w:t>e</w:t>
      </w:r>
      <w:r w:rsidR="0065311D" w:rsidRPr="00C82375">
        <w:rPr>
          <w:rFonts w:ascii="Arial Narrow" w:hAnsi="Arial Narrow" w:cs="Arial"/>
          <w:sz w:val="24"/>
          <w:szCs w:val="24"/>
        </w:rPr>
        <w:t>lection.</w:t>
      </w:r>
      <w:r w:rsidR="002C73EA">
        <w:rPr>
          <w:rFonts w:ascii="Arial Narrow" w:hAnsi="Arial Narrow" w:cs="Arial"/>
          <w:sz w:val="24"/>
          <w:szCs w:val="24"/>
        </w:rPr>
        <w:t xml:space="preserve"> </w:t>
      </w:r>
      <w:r w:rsidR="0065311D" w:rsidRPr="00C82375">
        <w:rPr>
          <w:rFonts w:ascii="Arial Narrow" w:hAnsi="Arial Narrow" w:cs="Arial"/>
          <w:sz w:val="24"/>
          <w:szCs w:val="24"/>
        </w:rPr>
        <w:t xml:space="preserve">The consolidation of polling places </w:t>
      </w:r>
      <w:r w:rsidR="009C3CCB">
        <w:rPr>
          <w:rFonts w:ascii="Arial Narrow" w:hAnsi="Arial Narrow" w:cs="Arial"/>
          <w:sz w:val="24"/>
          <w:szCs w:val="24"/>
        </w:rPr>
        <w:t>for</w:t>
      </w:r>
      <w:r w:rsidR="00F0416C">
        <w:rPr>
          <w:rFonts w:ascii="Arial Narrow" w:hAnsi="Arial Narrow" w:cs="Arial"/>
          <w:sz w:val="24"/>
          <w:szCs w:val="24"/>
        </w:rPr>
        <w:t xml:space="preserve"> </w:t>
      </w:r>
      <w:r w:rsidR="002C73EA">
        <w:rPr>
          <w:rFonts w:ascii="Arial Narrow" w:hAnsi="Arial Narrow" w:cs="Arial"/>
          <w:sz w:val="24"/>
          <w:szCs w:val="24"/>
        </w:rPr>
        <w:t xml:space="preserve">the November 2015 election </w:t>
      </w:r>
      <w:r w:rsidR="0065311D" w:rsidRPr="00C82375">
        <w:rPr>
          <w:rFonts w:ascii="Arial Narrow" w:hAnsi="Arial Narrow" w:cs="Arial"/>
          <w:sz w:val="24"/>
          <w:szCs w:val="24"/>
        </w:rPr>
        <w:t xml:space="preserve">will result </w:t>
      </w:r>
      <w:r w:rsidR="00924ABA" w:rsidRPr="00C82375">
        <w:rPr>
          <w:rFonts w:ascii="Arial Narrow" w:hAnsi="Arial Narrow" w:cs="Arial"/>
          <w:sz w:val="24"/>
          <w:szCs w:val="24"/>
        </w:rPr>
        <w:t xml:space="preserve">in </w:t>
      </w:r>
      <w:r w:rsidR="0065311D" w:rsidRPr="00C82375">
        <w:rPr>
          <w:rFonts w:ascii="Arial Narrow" w:hAnsi="Arial Narrow" w:cs="Arial"/>
          <w:sz w:val="24"/>
          <w:szCs w:val="24"/>
        </w:rPr>
        <w:t xml:space="preserve">some </w:t>
      </w:r>
      <w:r w:rsidR="00924ABA" w:rsidRPr="00C82375">
        <w:rPr>
          <w:rFonts w:ascii="Arial Narrow" w:hAnsi="Arial Narrow" w:cs="Arial"/>
          <w:sz w:val="24"/>
          <w:szCs w:val="24"/>
        </w:rPr>
        <w:t>election-related cost</w:t>
      </w:r>
      <w:r w:rsidR="00F0416C">
        <w:rPr>
          <w:rFonts w:ascii="Arial Narrow" w:hAnsi="Arial Narrow" w:cs="Arial"/>
          <w:sz w:val="24"/>
          <w:szCs w:val="24"/>
        </w:rPr>
        <w:t xml:space="preserve"> savings, </w:t>
      </w:r>
      <w:r w:rsidR="0065311D" w:rsidRPr="00C82375">
        <w:rPr>
          <w:rFonts w:ascii="Arial Narrow" w:hAnsi="Arial Narrow" w:cs="Arial"/>
          <w:sz w:val="24"/>
          <w:szCs w:val="24"/>
        </w:rPr>
        <w:t xml:space="preserve">which will partially offset the </w:t>
      </w:r>
      <w:r w:rsidR="00F0416C">
        <w:rPr>
          <w:rFonts w:ascii="Arial Narrow" w:hAnsi="Arial Narrow"/>
          <w:sz w:val="24"/>
          <w:szCs w:val="24"/>
        </w:rPr>
        <w:t>higher</w:t>
      </w:r>
      <w:r w:rsidR="00F0416C" w:rsidRPr="00C82375">
        <w:rPr>
          <w:rFonts w:ascii="Arial Narrow" w:hAnsi="Arial Narrow"/>
          <w:sz w:val="24"/>
          <w:szCs w:val="24"/>
        </w:rPr>
        <w:t xml:space="preserve"> </w:t>
      </w:r>
      <w:r w:rsidR="0065311D" w:rsidRPr="00C82375">
        <w:rPr>
          <w:rFonts w:ascii="Arial Narrow" w:hAnsi="Arial Narrow" w:cs="Arial"/>
          <w:sz w:val="24"/>
          <w:szCs w:val="24"/>
        </w:rPr>
        <w:t xml:space="preserve">FY 2015-16 </w:t>
      </w:r>
      <w:r w:rsidR="009C3CCB">
        <w:rPr>
          <w:rFonts w:ascii="Arial Narrow" w:hAnsi="Arial Narrow"/>
          <w:sz w:val="24"/>
          <w:szCs w:val="24"/>
        </w:rPr>
        <w:t>expenditures</w:t>
      </w:r>
      <w:r w:rsidR="0065311D" w:rsidRPr="00C82375">
        <w:rPr>
          <w:rFonts w:ascii="Arial Narrow" w:hAnsi="Arial Narrow"/>
          <w:sz w:val="24"/>
          <w:szCs w:val="24"/>
        </w:rPr>
        <w:t xml:space="preserve">, </w:t>
      </w:r>
      <w:r w:rsidR="0065311D" w:rsidRPr="00C82375">
        <w:rPr>
          <w:rFonts w:ascii="Arial Narrow" w:hAnsi="Arial Narrow" w:cs="Arial"/>
          <w:sz w:val="24"/>
          <w:szCs w:val="24"/>
        </w:rPr>
        <w:t xml:space="preserve">compared to FY 2014-15. </w:t>
      </w:r>
    </w:p>
    <w:p w:rsidR="0065311D" w:rsidRPr="00C82375" w:rsidRDefault="0065311D" w:rsidP="0065311D">
      <w:pPr>
        <w:rPr>
          <w:rFonts w:ascii="Arial Narrow" w:hAnsi="Arial Narrow" w:cs="Arial"/>
        </w:rPr>
      </w:pPr>
    </w:p>
    <w:p w:rsidR="00774578" w:rsidRPr="00C82375" w:rsidRDefault="00121295" w:rsidP="00774578">
      <w:pPr>
        <w:pStyle w:val="ListParagraph"/>
        <w:numPr>
          <w:ilvl w:val="1"/>
          <w:numId w:val="11"/>
        </w:numPr>
        <w:autoSpaceDE w:val="0"/>
        <w:autoSpaceDN w:val="0"/>
        <w:adjustRightInd w:val="0"/>
        <w:rPr>
          <w:rFonts w:ascii="Arial Narrow" w:hAnsi="Arial Narrow" w:cs="Arial"/>
          <w:b/>
          <w:sz w:val="24"/>
          <w:szCs w:val="24"/>
        </w:rPr>
      </w:pPr>
      <w:r w:rsidRPr="00C82375">
        <w:rPr>
          <w:rFonts w:ascii="Arial Narrow" w:hAnsi="Arial Narrow" w:cs="Arial"/>
          <w:b/>
          <w:sz w:val="24"/>
          <w:szCs w:val="24"/>
        </w:rPr>
        <w:t>Budget Form 2B</w:t>
      </w:r>
      <w:r w:rsidR="00F0416C">
        <w:rPr>
          <w:rFonts w:ascii="Arial Narrow" w:hAnsi="Arial Narrow" w:cs="Arial"/>
          <w:b/>
          <w:sz w:val="24"/>
          <w:szCs w:val="24"/>
        </w:rPr>
        <w:t>:</w:t>
      </w:r>
      <w:r w:rsidR="00F0416C" w:rsidRPr="00C82375">
        <w:rPr>
          <w:rFonts w:ascii="Arial Narrow" w:hAnsi="Arial Narrow" w:cs="Arial"/>
          <w:b/>
          <w:sz w:val="24"/>
          <w:szCs w:val="24"/>
        </w:rPr>
        <w:t xml:space="preserve"> </w:t>
      </w:r>
      <w:r w:rsidR="00924ABA" w:rsidRPr="00C82375">
        <w:rPr>
          <w:rFonts w:ascii="Arial Narrow" w:hAnsi="Arial Narrow" w:cs="Arial"/>
          <w:b/>
          <w:sz w:val="24"/>
          <w:szCs w:val="24"/>
        </w:rPr>
        <w:t>Revenues</w:t>
      </w:r>
      <w:r w:rsidRPr="00C82375">
        <w:rPr>
          <w:rFonts w:ascii="Arial Narrow" w:hAnsi="Arial Narrow" w:cs="Arial"/>
          <w:b/>
          <w:sz w:val="24"/>
          <w:szCs w:val="24"/>
        </w:rPr>
        <w:t xml:space="preserve"> </w:t>
      </w:r>
    </w:p>
    <w:p w:rsidR="00924ABA" w:rsidRPr="00C82375" w:rsidRDefault="00924ABA" w:rsidP="00774578">
      <w:pPr>
        <w:pStyle w:val="NoSpacing"/>
        <w:rPr>
          <w:rFonts w:ascii="Arial Narrow" w:hAnsi="Arial Narrow" w:cs="Arial"/>
        </w:rPr>
      </w:pPr>
      <w:r w:rsidRPr="00C82375">
        <w:rPr>
          <w:rFonts w:ascii="Arial Narrow" w:hAnsi="Arial Narrow" w:cs="Arial"/>
        </w:rPr>
        <w:t>The D</w:t>
      </w:r>
      <w:r w:rsidR="00DB540F">
        <w:rPr>
          <w:rFonts w:ascii="Arial Narrow" w:hAnsi="Arial Narrow" w:cs="Arial"/>
        </w:rPr>
        <w:t xml:space="preserve">epartment’s projected revenues, </w:t>
      </w:r>
      <w:r w:rsidRPr="00C82375">
        <w:rPr>
          <w:rFonts w:ascii="Arial Narrow" w:hAnsi="Arial Narrow" w:cs="Arial"/>
        </w:rPr>
        <w:t>accompanied by the description of fees, the amounts, and the authorizing code citations</w:t>
      </w:r>
      <w:r w:rsidR="00F0416C">
        <w:rPr>
          <w:rFonts w:ascii="Arial Narrow" w:hAnsi="Arial Narrow" w:cs="Arial"/>
        </w:rPr>
        <w:t>,</w:t>
      </w:r>
      <w:r w:rsidRPr="00C82375">
        <w:rPr>
          <w:rFonts w:ascii="Arial Narrow" w:hAnsi="Arial Narrow" w:cs="Arial"/>
        </w:rPr>
        <w:t xml:space="preserve"> are presented on </w:t>
      </w:r>
      <w:r w:rsidR="00F05F28" w:rsidRPr="00C82375">
        <w:rPr>
          <w:rFonts w:ascii="Arial Narrow" w:hAnsi="Arial Narrow" w:cs="Arial"/>
        </w:rPr>
        <w:t>F</w:t>
      </w:r>
      <w:r w:rsidRPr="00C82375">
        <w:rPr>
          <w:rFonts w:ascii="Arial Narrow" w:hAnsi="Arial Narrow" w:cs="Arial"/>
        </w:rPr>
        <w:t xml:space="preserve">orm 2B of the enclosed budget packet. </w:t>
      </w:r>
    </w:p>
    <w:p w:rsidR="00924ABA" w:rsidRPr="00C82375" w:rsidRDefault="00924ABA" w:rsidP="00924ABA">
      <w:pPr>
        <w:autoSpaceDE w:val="0"/>
        <w:autoSpaceDN w:val="0"/>
        <w:adjustRightInd w:val="0"/>
        <w:rPr>
          <w:rFonts w:ascii="Arial Narrow" w:hAnsi="Arial Narrow" w:cs="Arial"/>
          <w:spacing w:val="0"/>
          <w:sz w:val="24"/>
          <w:szCs w:val="24"/>
        </w:rPr>
      </w:pPr>
    </w:p>
    <w:p w:rsidR="009E011F" w:rsidRPr="00C82375" w:rsidRDefault="00924ABA" w:rsidP="00924ABA">
      <w:pPr>
        <w:autoSpaceDE w:val="0"/>
        <w:autoSpaceDN w:val="0"/>
        <w:adjustRightInd w:val="0"/>
        <w:rPr>
          <w:rFonts w:ascii="Arial Narrow" w:hAnsi="Arial Narrow" w:cs="Arial"/>
          <w:spacing w:val="0"/>
          <w:sz w:val="24"/>
          <w:szCs w:val="24"/>
        </w:rPr>
      </w:pPr>
      <w:r w:rsidRPr="00C82375">
        <w:rPr>
          <w:rFonts w:ascii="Arial Narrow" w:hAnsi="Arial Narrow" w:cs="Arial"/>
          <w:spacing w:val="0"/>
          <w:sz w:val="24"/>
          <w:szCs w:val="24"/>
        </w:rPr>
        <w:t xml:space="preserve">The </w:t>
      </w:r>
      <w:r w:rsidR="00121295" w:rsidRPr="00C82375">
        <w:rPr>
          <w:rFonts w:ascii="Arial Narrow" w:hAnsi="Arial Narrow" w:cs="Arial"/>
          <w:spacing w:val="0"/>
          <w:sz w:val="24"/>
          <w:szCs w:val="24"/>
        </w:rPr>
        <w:t>projected revenues</w:t>
      </w:r>
      <w:r w:rsidR="00F0416C">
        <w:rPr>
          <w:rFonts w:ascii="Arial Narrow" w:hAnsi="Arial Narrow" w:cs="Arial"/>
          <w:sz w:val="24"/>
          <w:szCs w:val="24"/>
        </w:rPr>
        <w:t>—</w:t>
      </w:r>
      <w:r w:rsidR="009E011F" w:rsidRPr="00C82375">
        <w:rPr>
          <w:rFonts w:ascii="Arial Narrow" w:hAnsi="Arial Narrow" w:cs="Arial"/>
          <w:spacing w:val="0"/>
          <w:sz w:val="24"/>
          <w:szCs w:val="24"/>
        </w:rPr>
        <w:t>$386,984</w:t>
      </w:r>
      <w:r w:rsidR="00F0416C">
        <w:rPr>
          <w:rFonts w:ascii="Arial Narrow" w:hAnsi="Arial Narrow" w:cs="Arial"/>
          <w:sz w:val="24"/>
          <w:szCs w:val="24"/>
        </w:rPr>
        <w:t>—</w:t>
      </w:r>
      <w:r w:rsidR="009E011F" w:rsidRPr="00C82375">
        <w:rPr>
          <w:rFonts w:ascii="Arial Narrow" w:hAnsi="Arial Narrow" w:cs="Arial"/>
          <w:spacing w:val="0"/>
          <w:sz w:val="24"/>
          <w:szCs w:val="24"/>
        </w:rPr>
        <w:t xml:space="preserve">will be generated from the candidate filing and statement and ballot argument fees collected during the two election cycles.  Additionally, </w:t>
      </w:r>
      <w:r w:rsidRPr="00C82375">
        <w:rPr>
          <w:rFonts w:ascii="Arial Narrow" w:hAnsi="Arial Narrow" w:cs="Arial"/>
          <w:spacing w:val="0"/>
          <w:sz w:val="24"/>
          <w:szCs w:val="24"/>
        </w:rPr>
        <w:t xml:space="preserve">the Department anticipates </w:t>
      </w:r>
      <w:r w:rsidRPr="00C82375">
        <w:rPr>
          <w:rFonts w:ascii="Arial Narrow" w:hAnsi="Arial Narrow" w:cs="Arial"/>
          <w:spacing w:val="0"/>
          <w:sz w:val="24"/>
          <w:szCs w:val="24"/>
        </w:rPr>
        <w:lastRenderedPageBreak/>
        <w:t xml:space="preserve">reimbursement of $262,280 from </w:t>
      </w:r>
      <w:r w:rsidR="002C73EA">
        <w:rPr>
          <w:rFonts w:ascii="Arial Narrow" w:hAnsi="Arial Narrow" w:cs="Arial"/>
          <w:spacing w:val="0"/>
          <w:sz w:val="24"/>
          <w:szCs w:val="24"/>
        </w:rPr>
        <w:t>the Community College District (</w:t>
      </w:r>
      <w:r w:rsidRPr="00C82375">
        <w:rPr>
          <w:rFonts w:ascii="Arial Narrow" w:hAnsi="Arial Narrow" w:cs="Arial"/>
          <w:spacing w:val="0"/>
          <w:sz w:val="24"/>
          <w:szCs w:val="24"/>
        </w:rPr>
        <w:t>CCD</w:t>
      </w:r>
      <w:r w:rsidR="002C73EA">
        <w:rPr>
          <w:rFonts w:ascii="Arial Narrow" w:hAnsi="Arial Narrow" w:cs="Arial"/>
          <w:spacing w:val="0"/>
          <w:sz w:val="24"/>
          <w:szCs w:val="24"/>
        </w:rPr>
        <w:t>)</w:t>
      </w:r>
      <w:r w:rsidRPr="00C82375">
        <w:rPr>
          <w:rFonts w:ascii="Arial Narrow" w:hAnsi="Arial Narrow" w:cs="Arial"/>
          <w:spacing w:val="0"/>
          <w:sz w:val="24"/>
          <w:szCs w:val="24"/>
        </w:rPr>
        <w:t xml:space="preserve"> in FY 2015-16, which constitutes the remainder of the actual costs associated with the November 2014 election.</w:t>
      </w:r>
      <w:r w:rsidRPr="00C82375">
        <w:rPr>
          <w:rStyle w:val="FootnoteReference"/>
          <w:rFonts w:ascii="Arial Narrow" w:hAnsi="Arial Narrow" w:cs="Arial"/>
          <w:spacing w:val="0"/>
          <w:sz w:val="24"/>
          <w:szCs w:val="24"/>
        </w:rPr>
        <w:footnoteReference w:id="1"/>
      </w:r>
      <w:r w:rsidRPr="00C82375">
        <w:rPr>
          <w:rFonts w:ascii="Arial Narrow" w:hAnsi="Arial Narrow" w:cs="Arial"/>
          <w:spacing w:val="0"/>
          <w:sz w:val="24"/>
          <w:szCs w:val="24"/>
        </w:rPr>
        <w:t xml:space="preserve"> </w:t>
      </w:r>
    </w:p>
    <w:p w:rsidR="009E011F" w:rsidRPr="00C82375" w:rsidRDefault="009E011F" w:rsidP="00924ABA">
      <w:pPr>
        <w:autoSpaceDE w:val="0"/>
        <w:autoSpaceDN w:val="0"/>
        <w:adjustRightInd w:val="0"/>
        <w:rPr>
          <w:rFonts w:ascii="Arial Narrow" w:hAnsi="Arial Narrow" w:cs="Arial"/>
          <w:spacing w:val="0"/>
          <w:sz w:val="24"/>
          <w:szCs w:val="24"/>
        </w:rPr>
      </w:pPr>
    </w:p>
    <w:p w:rsidR="009E011F" w:rsidRPr="00C82375" w:rsidRDefault="009E011F" w:rsidP="00924ABA">
      <w:pPr>
        <w:autoSpaceDE w:val="0"/>
        <w:autoSpaceDN w:val="0"/>
        <w:adjustRightInd w:val="0"/>
        <w:rPr>
          <w:rFonts w:ascii="Arial Narrow" w:hAnsi="Arial Narrow" w:cs="Arial"/>
          <w:spacing w:val="0"/>
          <w:sz w:val="24"/>
          <w:szCs w:val="24"/>
        </w:rPr>
      </w:pPr>
      <w:r w:rsidRPr="00C82375">
        <w:rPr>
          <w:rFonts w:ascii="Arial Narrow" w:hAnsi="Arial Narrow" w:cs="Arial"/>
          <w:spacing w:val="0"/>
          <w:sz w:val="24"/>
          <w:szCs w:val="24"/>
        </w:rPr>
        <w:t xml:space="preserve">There are no scheduled elections </w:t>
      </w:r>
      <w:r w:rsidR="002C73EA" w:rsidRPr="00C82375">
        <w:rPr>
          <w:rFonts w:ascii="Arial Narrow" w:hAnsi="Arial Narrow" w:cs="Arial"/>
          <w:spacing w:val="0"/>
          <w:sz w:val="24"/>
          <w:szCs w:val="24"/>
        </w:rPr>
        <w:t>in FY 2015-16</w:t>
      </w:r>
      <w:r w:rsidR="002C73EA">
        <w:rPr>
          <w:rFonts w:ascii="Arial Narrow" w:hAnsi="Arial Narrow" w:cs="Arial"/>
          <w:spacing w:val="0"/>
          <w:sz w:val="24"/>
          <w:szCs w:val="24"/>
        </w:rPr>
        <w:t xml:space="preserve"> </w:t>
      </w:r>
      <w:r w:rsidRPr="00C82375">
        <w:rPr>
          <w:rFonts w:ascii="Arial Narrow" w:hAnsi="Arial Narrow" w:cs="Arial"/>
          <w:spacing w:val="0"/>
          <w:sz w:val="24"/>
          <w:szCs w:val="24"/>
        </w:rPr>
        <w:t xml:space="preserve">for </w:t>
      </w:r>
      <w:r w:rsidR="002C73EA">
        <w:rPr>
          <w:rFonts w:ascii="Arial Narrow" w:hAnsi="Arial Narrow" w:cs="Arial"/>
          <w:spacing w:val="0"/>
          <w:sz w:val="24"/>
          <w:szCs w:val="24"/>
        </w:rPr>
        <w:t xml:space="preserve">the </w:t>
      </w:r>
      <w:r w:rsidRPr="00C82375">
        <w:rPr>
          <w:rFonts w:ascii="Arial Narrow" w:hAnsi="Arial Narrow" w:cs="Arial"/>
          <w:spacing w:val="0"/>
          <w:sz w:val="24"/>
          <w:szCs w:val="24"/>
        </w:rPr>
        <w:t>Community College District (CCD), San Francisco Unified School District (SFUSD), or Bay Area Rapid Transit (BART), resulting in the overall decrease in revenues</w:t>
      </w:r>
      <w:r w:rsidR="00F05F28" w:rsidRPr="00C82375">
        <w:rPr>
          <w:rFonts w:ascii="Arial Narrow" w:hAnsi="Arial Narrow" w:cs="Arial"/>
          <w:spacing w:val="0"/>
          <w:sz w:val="24"/>
          <w:szCs w:val="24"/>
        </w:rPr>
        <w:t xml:space="preserve"> compared to </w:t>
      </w:r>
      <w:r w:rsidRPr="00C82375">
        <w:rPr>
          <w:rFonts w:ascii="Arial Narrow" w:hAnsi="Arial Narrow" w:cs="Arial"/>
          <w:spacing w:val="0"/>
          <w:sz w:val="24"/>
          <w:szCs w:val="24"/>
        </w:rPr>
        <w:t xml:space="preserve">FY 2014-15. </w:t>
      </w:r>
    </w:p>
    <w:p w:rsidR="00774578" w:rsidRPr="00C82375" w:rsidRDefault="00774578" w:rsidP="009E011F">
      <w:pPr>
        <w:autoSpaceDE w:val="0"/>
        <w:autoSpaceDN w:val="0"/>
        <w:adjustRightInd w:val="0"/>
        <w:rPr>
          <w:rFonts w:ascii="Arial Narrow" w:hAnsi="Arial Narrow" w:cs="Arial"/>
          <w:spacing w:val="0"/>
          <w:sz w:val="24"/>
          <w:szCs w:val="24"/>
        </w:rPr>
      </w:pPr>
    </w:p>
    <w:p w:rsidR="00924ABA" w:rsidRPr="00C82375" w:rsidRDefault="00774578" w:rsidP="00774578">
      <w:pPr>
        <w:pStyle w:val="ListParagraph"/>
        <w:numPr>
          <w:ilvl w:val="1"/>
          <w:numId w:val="11"/>
        </w:numPr>
        <w:autoSpaceDE w:val="0"/>
        <w:autoSpaceDN w:val="0"/>
        <w:adjustRightInd w:val="0"/>
        <w:rPr>
          <w:rFonts w:ascii="Arial Narrow" w:hAnsi="Arial Narrow" w:cs="Arial"/>
          <w:b/>
          <w:sz w:val="24"/>
          <w:szCs w:val="24"/>
        </w:rPr>
      </w:pPr>
      <w:r w:rsidRPr="00C82375">
        <w:rPr>
          <w:rFonts w:ascii="Arial Narrow" w:hAnsi="Arial Narrow" w:cs="Arial"/>
          <w:b/>
          <w:sz w:val="24"/>
          <w:szCs w:val="24"/>
        </w:rPr>
        <w:t>Budget Form 3</w:t>
      </w:r>
      <w:r w:rsidR="009E011F" w:rsidRPr="00C82375">
        <w:rPr>
          <w:rFonts w:ascii="Arial Narrow" w:hAnsi="Arial Narrow" w:cs="Arial"/>
          <w:b/>
          <w:sz w:val="24"/>
          <w:szCs w:val="24"/>
        </w:rPr>
        <w:t xml:space="preserve">A. </w:t>
      </w:r>
      <w:r w:rsidR="00924ABA" w:rsidRPr="00C82375">
        <w:rPr>
          <w:rFonts w:ascii="Arial Narrow" w:hAnsi="Arial Narrow" w:cs="Arial"/>
          <w:b/>
          <w:sz w:val="24"/>
          <w:szCs w:val="24"/>
        </w:rPr>
        <w:t>Expenditures</w:t>
      </w:r>
      <w:r w:rsidR="009E011F" w:rsidRPr="00C82375">
        <w:rPr>
          <w:rFonts w:ascii="Arial Narrow" w:hAnsi="Arial Narrow" w:cs="Arial"/>
          <w:b/>
          <w:sz w:val="24"/>
          <w:szCs w:val="24"/>
        </w:rPr>
        <w:t xml:space="preserve"> </w:t>
      </w:r>
      <w:r w:rsidR="00924ABA" w:rsidRPr="00C82375">
        <w:rPr>
          <w:rFonts w:ascii="Arial Narrow" w:hAnsi="Arial Narrow" w:cs="Arial"/>
          <w:b/>
          <w:sz w:val="24"/>
          <w:szCs w:val="24"/>
        </w:rPr>
        <w:t xml:space="preserve"> </w:t>
      </w:r>
    </w:p>
    <w:p w:rsidR="00924ABA" w:rsidRDefault="00924ABA" w:rsidP="00924ABA">
      <w:pPr>
        <w:rPr>
          <w:rFonts w:ascii="Arial Narrow" w:hAnsi="Arial Narrow" w:cs="Arial"/>
          <w:spacing w:val="0"/>
          <w:sz w:val="24"/>
          <w:szCs w:val="24"/>
        </w:rPr>
      </w:pPr>
      <w:r w:rsidRPr="00C82375">
        <w:rPr>
          <w:rFonts w:ascii="Arial Narrow" w:hAnsi="Arial Narrow" w:cs="Arial"/>
          <w:spacing w:val="0"/>
          <w:sz w:val="24"/>
          <w:szCs w:val="24"/>
        </w:rPr>
        <w:t>The Department’s projected expenditures</w:t>
      </w:r>
      <w:r w:rsidR="009E011F" w:rsidRPr="00C82375">
        <w:rPr>
          <w:rFonts w:ascii="Arial Narrow" w:hAnsi="Arial Narrow" w:cs="Arial"/>
          <w:spacing w:val="0"/>
          <w:sz w:val="24"/>
          <w:szCs w:val="24"/>
        </w:rPr>
        <w:t xml:space="preserve">, accompanied by the explanation for each </w:t>
      </w:r>
      <w:r w:rsidR="00F05F28" w:rsidRPr="00C82375">
        <w:rPr>
          <w:rFonts w:ascii="Arial Narrow" w:hAnsi="Arial Narrow" w:cs="Arial"/>
          <w:spacing w:val="0"/>
          <w:sz w:val="24"/>
          <w:szCs w:val="24"/>
        </w:rPr>
        <w:t xml:space="preserve">proposed </w:t>
      </w:r>
      <w:r w:rsidR="009E011F" w:rsidRPr="00C82375">
        <w:rPr>
          <w:rFonts w:ascii="Arial Narrow" w:hAnsi="Arial Narrow" w:cs="Arial"/>
          <w:spacing w:val="0"/>
          <w:sz w:val="24"/>
          <w:szCs w:val="24"/>
        </w:rPr>
        <w:t>increase</w:t>
      </w:r>
      <w:r w:rsidR="009C3CCB">
        <w:rPr>
          <w:rFonts w:ascii="Arial Narrow" w:hAnsi="Arial Narrow" w:cs="Arial"/>
          <w:spacing w:val="0"/>
          <w:sz w:val="24"/>
          <w:szCs w:val="24"/>
        </w:rPr>
        <w:t xml:space="preserve"> or </w:t>
      </w:r>
      <w:r w:rsidR="009E011F" w:rsidRPr="00C82375">
        <w:rPr>
          <w:rFonts w:ascii="Arial Narrow" w:hAnsi="Arial Narrow" w:cs="Arial"/>
          <w:spacing w:val="0"/>
          <w:sz w:val="24"/>
          <w:szCs w:val="24"/>
        </w:rPr>
        <w:t xml:space="preserve">decrease </w:t>
      </w:r>
      <w:r w:rsidR="006E5C4D">
        <w:rPr>
          <w:rFonts w:ascii="Arial Narrow" w:hAnsi="Arial Narrow" w:cs="Arial"/>
          <w:spacing w:val="0"/>
          <w:sz w:val="24"/>
          <w:szCs w:val="24"/>
        </w:rPr>
        <w:t xml:space="preserve">compared to </w:t>
      </w:r>
      <w:r w:rsidR="009E011F" w:rsidRPr="00C82375">
        <w:rPr>
          <w:rFonts w:ascii="Arial Narrow" w:hAnsi="Arial Narrow" w:cs="Arial"/>
          <w:spacing w:val="0"/>
          <w:sz w:val="24"/>
          <w:szCs w:val="24"/>
        </w:rPr>
        <w:t xml:space="preserve">the previously </w:t>
      </w:r>
      <w:r w:rsidR="00F26125">
        <w:rPr>
          <w:rFonts w:ascii="Arial Narrow" w:hAnsi="Arial Narrow" w:cs="Arial"/>
          <w:spacing w:val="0"/>
          <w:sz w:val="24"/>
          <w:szCs w:val="24"/>
        </w:rPr>
        <w:t xml:space="preserve">adopted </w:t>
      </w:r>
      <w:r w:rsidR="00774578" w:rsidRPr="00C82375">
        <w:rPr>
          <w:rFonts w:ascii="Arial Narrow" w:hAnsi="Arial Narrow" w:cs="Arial"/>
          <w:spacing w:val="0"/>
          <w:sz w:val="24"/>
          <w:szCs w:val="24"/>
        </w:rPr>
        <w:t xml:space="preserve">FY 2015-16 </w:t>
      </w:r>
      <w:proofErr w:type="gramStart"/>
      <w:r w:rsidR="00774578" w:rsidRPr="00C82375">
        <w:rPr>
          <w:rFonts w:ascii="Arial Narrow" w:hAnsi="Arial Narrow" w:cs="Arial"/>
          <w:spacing w:val="0"/>
          <w:sz w:val="24"/>
          <w:szCs w:val="24"/>
        </w:rPr>
        <w:t>budget</w:t>
      </w:r>
      <w:proofErr w:type="gramEnd"/>
      <w:r w:rsidR="009C3CCB">
        <w:rPr>
          <w:rFonts w:ascii="Arial Narrow" w:hAnsi="Arial Narrow" w:cs="Arial"/>
          <w:spacing w:val="0"/>
          <w:sz w:val="24"/>
          <w:szCs w:val="24"/>
        </w:rPr>
        <w:t>,</w:t>
      </w:r>
      <w:r w:rsidR="00774578" w:rsidRPr="00C82375">
        <w:rPr>
          <w:rFonts w:ascii="Arial Narrow" w:hAnsi="Arial Narrow" w:cs="Arial"/>
          <w:spacing w:val="0"/>
          <w:sz w:val="24"/>
          <w:szCs w:val="24"/>
        </w:rPr>
        <w:t xml:space="preserve"> a</w:t>
      </w:r>
      <w:r w:rsidRPr="00C82375">
        <w:rPr>
          <w:rFonts w:ascii="Arial Narrow" w:hAnsi="Arial Narrow" w:cs="Arial"/>
          <w:spacing w:val="0"/>
          <w:sz w:val="24"/>
          <w:szCs w:val="24"/>
        </w:rPr>
        <w:t>re presented on form 3A of the enclosed budget packet.</w:t>
      </w:r>
      <w:r w:rsidR="00774578" w:rsidRPr="00C82375">
        <w:rPr>
          <w:rFonts w:ascii="Arial Narrow" w:hAnsi="Arial Narrow" w:cs="Arial"/>
          <w:spacing w:val="0"/>
          <w:sz w:val="24"/>
          <w:szCs w:val="24"/>
        </w:rPr>
        <w:t xml:space="preserve"> </w:t>
      </w:r>
      <w:r w:rsidR="00767BE2">
        <w:rPr>
          <w:rFonts w:ascii="Arial Narrow" w:hAnsi="Arial Narrow" w:cs="Arial"/>
          <w:spacing w:val="0"/>
          <w:sz w:val="24"/>
          <w:szCs w:val="24"/>
        </w:rPr>
        <w:t xml:space="preserve">Following is </w:t>
      </w:r>
      <w:r w:rsidR="00AD6CFB">
        <w:rPr>
          <w:rFonts w:ascii="Arial Narrow" w:hAnsi="Arial Narrow" w:cs="Arial"/>
          <w:spacing w:val="0"/>
          <w:sz w:val="24"/>
          <w:szCs w:val="24"/>
        </w:rPr>
        <w:t xml:space="preserve">a </w:t>
      </w:r>
      <w:r w:rsidR="00767BE2">
        <w:rPr>
          <w:rFonts w:ascii="Arial Narrow" w:hAnsi="Arial Narrow" w:cs="Arial"/>
          <w:spacing w:val="0"/>
          <w:sz w:val="24"/>
          <w:szCs w:val="24"/>
        </w:rPr>
        <w:t xml:space="preserve">key to the columns with budget figures:   </w:t>
      </w:r>
    </w:p>
    <w:p w:rsidR="000F1090" w:rsidRPr="00FF2CBC" w:rsidRDefault="000F1090" w:rsidP="006E5C4D">
      <w:pPr>
        <w:rPr>
          <w:rFonts w:ascii="Arial Narrow" w:hAnsi="Arial Narrow" w:cs="Arial"/>
          <w:spacing w:val="0"/>
          <w:sz w:val="24"/>
          <w:szCs w:val="24"/>
        </w:rPr>
      </w:pPr>
    </w:p>
    <w:p w:rsidR="00E35771" w:rsidRPr="00FF2CBC" w:rsidRDefault="000F1090" w:rsidP="00FF2CBC">
      <w:pPr>
        <w:pStyle w:val="NoSpacing"/>
        <w:rPr>
          <w:rFonts w:ascii="Arial Narrow" w:hAnsi="Arial Narrow"/>
          <w:b/>
        </w:rPr>
      </w:pPr>
      <w:r w:rsidRPr="00FF2CBC">
        <w:rPr>
          <w:rFonts w:ascii="Arial Narrow" w:hAnsi="Arial Narrow"/>
          <w:b/>
        </w:rPr>
        <w:t xml:space="preserve">FY 2014-15 </w:t>
      </w:r>
      <w:proofErr w:type="spellStart"/>
      <w:r w:rsidRPr="00FF2CBC">
        <w:rPr>
          <w:rFonts w:ascii="Arial Narrow" w:hAnsi="Arial Narrow"/>
          <w:b/>
        </w:rPr>
        <w:t>Orig</w:t>
      </w:r>
      <w:proofErr w:type="spellEnd"/>
      <w:r w:rsidRPr="00FF2CBC">
        <w:rPr>
          <w:rFonts w:ascii="Arial Narrow" w:hAnsi="Arial Narrow"/>
          <w:b/>
        </w:rPr>
        <w:t xml:space="preserve"> Budget</w:t>
      </w:r>
      <w:r w:rsidRPr="00FF2CBC">
        <w:rPr>
          <w:rFonts w:ascii="Arial Narrow" w:hAnsi="Arial Narrow"/>
        </w:rPr>
        <w:t xml:space="preserve"> – Department’s </w:t>
      </w:r>
      <w:r w:rsidR="0092317A" w:rsidRPr="00FF2CBC">
        <w:rPr>
          <w:rFonts w:ascii="Arial Narrow" w:hAnsi="Arial Narrow"/>
        </w:rPr>
        <w:t xml:space="preserve">final </w:t>
      </w:r>
      <w:r w:rsidR="001B553B" w:rsidRPr="00FF2CBC">
        <w:rPr>
          <w:rFonts w:ascii="Arial Narrow" w:hAnsi="Arial Narrow"/>
        </w:rPr>
        <w:t xml:space="preserve">FY 2014-15 </w:t>
      </w:r>
      <w:r w:rsidR="00767BE2" w:rsidRPr="00FF2CBC">
        <w:rPr>
          <w:rFonts w:ascii="Arial Narrow" w:hAnsi="Arial Narrow"/>
        </w:rPr>
        <w:t>b</w:t>
      </w:r>
      <w:r w:rsidR="00E35771" w:rsidRPr="00FF2CBC">
        <w:rPr>
          <w:rFonts w:ascii="Arial Narrow" w:hAnsi="Arial Narrow"/>
        </w:rPr>
        <w:t xml:space="preserve">udget, which was </w:t>
      </w:r>
      <w:r w:rsidR="00767BE2" w:rsidRPr="00FF2CBC">
        <w:rPr>
          <w:rFonts w:ascii="Arial Narrow" w:hAnsi="Arial Narrow"/>
        </w:rPr>
        <w:t xml:space="preserve">adopted </w:t>
      </w:r>
      <w:r w:rsidR="001B553B" w:rsidRPr="00FF2CBC">
        <w:rPr>
          <w:rFonts w:ascii="Arial Narrow" w:hAnsi="Arial Narrow"/>
        </w:rPr>
        <w:t>by the Board of Supervisors</w:t>
      </w:r>
    </w:p>
    <w:p w:rsidR="000F1090" w:rsidRPr="00FF2CBC" w:rsidRDefault="000F1090" w:rsidP="006E5C4D">
      <w:pPr>
        <w:pStyle w:val="NoSpacing"/>
        <w:rPr>
          <w:rFonts w:ascii="Arial Narrow" w:hAnsi="Arial Narrow"/>
        </w:rPr>
      </w:pPr>
      <w:r w:rsidRPr="00FF2CBC">
        <w:rPr>
          <w:rFonts w:ascii="Arial Narrow" w:hAnsi="Arial Narrow"/>
          <w:b/>
        </w:rPr>
        <w:t>FY 2015-16 Base Budget</w:t>
      </w:r>
      <w:r w:rsidRPr="00FF2CBC">
        <w:rPr>
          <w:rFonts w:ascii="Arial Narrow" w:hAnsi="Arial Narrow"/>
        </w:rPr>
        <w:t xml:space="preserve"> </w:t>
      </w:r>
      <w:r w:rsidRPr="00FF2CBC">
        <w:rPr>
          <w:rFonts w:ascii="Arial Narrow" w:hAnsi="Arial Narrow"/>
        </w:rPr>
        <w:t>–</w:t>
      </w:r>
      <w:r w:rsidRPr="00FF2CBC">
        <w:rPr>
          <w:rFonts w:ascii="Arial Narrow" w:hAnsi="Arial Narrow"/>
        </w:rPr>
        <w:t xml:space="preserve"> Department’s FY 2015-16 </w:t>
      </w:r>
      <w:r w:rsidR="001B553B" w:rsidRPr="00FF2CBC">
        <w:rPr>
          <w:rFonts w:ascii="Arial Narrow" w:hAnsi="Arial Narrow"/>
        </w:rPr>
        <w:t>budget</w:t>
      </w:r>
      <w:r w:rsidR="00E35771" w:rsidRPr="00FF2CBC">
        <w:rPr>
          <w:rFonts w:ascii="Arial Narrow" w:hAnsi="Arial Narrow"/>
        </w:rPr>
        <w:t xml:space="preserve">, which was </w:t>
      </w:r>
      <w:r w:rsidR="001B553B" w:rsidRPr="00FF2CBC">
        <w:rPr>
          <w:rFonts w:ascii="Arial Narrow" w:hAnsi="Arial Narrow"/>
        </w:rPr>
        <w:t xml:space="preserve">adopted by the </w:t>
      </w:r>
      <w:r w:rsidR="001B553B" w:rsidRPr="00FF2CBC">
        <w:rPr>
          <w:rFonts w:ascii="Arial Narrow" w:hAnsi="Arial Narrow"/>
        </w:rPr>
        <w:t xml:space="preserve">Board of Supervisors </w:t>
      </w:r>
      <w:r w:rsidRPr="00FF2CBC">
        <w:rPr>
          <w:rFonts w:ascii="Arial Narrow" w:hAnsi="Arial Narrow"/>
        </w:rPr>
        <w:t xml:space="preserve">last year </w:t>
      </w:r>
    </w:p>
    <w:p w:rsidR="004743CE" w:rsidRPr="00FF2CBC" w:rsidRDefault="000F1090" w:rsidP="006E5C4D">
      <w:pPr>
        <w:pStyle w:val="NoSpacing"/>
        <w:rPr>
          <w:rFonts w:ascii="Arial Narrow" w:hAnsi="Arial Narrow"/>
        </w:rPr>
      </w:pPr>
      <w:r w:rsidRPr="00FF2CBC">
        <w:rPr>
          <w:rFonts w:ascii="Arial Narrow" w:hAnsi="Arial Narrow"/>
          <w:b/>
        </w:rPr>
        <w:t xml:space="preserve">FY 2015-16 </w:t>
      </w:r>
      <w:proofErr w:type="spellStart"/>
      <w:r w:rsidRPr="00FF2CBC">
        <w:rPr>
          <w:rFonts w:ascii="Arial Narrow" w:hAnsi="Arial Narrow"/>
          <w:b/>
        </w:rPr>
        <w:t>Dept</w:t>
      </w:r>
      <w:proofErr w:type="spellEnd"/>
      <w:r w:rsidRPr="00FF2CBC">
        <w:rPr>
          <w:rFonts w:ascii="Arial Narrow" w:hAnsi="Arial Narrow"/>
          <w:b/>
        </w:rPr>
        <w:t xml:space="preserve"> Proposed</w:t>
      </w:r>
      <w:r w:rsidRPr="00FF2CBC">
        <w:rPr>
          <w:rFonts w:ascii="Arial Narrow" w:hAnsi="Arial Narrow"/>
        </w:rPr>
        <w:t xml:space="preserve"> </w:t>
      </w:r>
      <w:r w:rsidRPr="00FF2CBC">
        <w:rPr>
          <w:rFonts w:ascii="Arial Narrow" w:hAnsi="Arial Narrow"/>
        </w:rPr>
        <w:t>–</w:t>
      </w:r>
      <w:r w:rsidRPr="00FF2CBC">
        <w:rPr>
          <w:rFonts w:ascii="Arial Narrow" w:hAnsi="Arial Narrow"/>
        </w:rPr>
        <w:t xml:space="preserve"> </w:t>
      </w:r>
      <w:r w:rsidR="004743CE" w:rsidRPr="00FF2CBC">
        <w:rPr>
          <w:rFonts w:ascii="Arial Narrow" w:hAnsi="Arial Narrow"/>
        </w:rPr>
        <w:t xml:space="preserve">Department’s </w:t>
      </w:r>
      <w:r w:rsidR="00E35771" w:rsidRPr="00FF2CBC">
        <w:rPr>
          <w:rFonts w:ascii="Arial Narrow" w:hAnsi="Arial Narrow"/>
        </w:rPr>
        <w:t xml:space="preserve">proposal for a </w:t>
      </w:r>
      <w:r w:rsidR="004743CE" w:rsidRPr="00FF2CBC">
        <w:rPr>
          <w:rFonts w:ascii="Arial Narrow" w:hAnsi="Arial Narrow"/>
        </w:rPr>
        <w:t xml:space="preserve">revised </w:t>
      </w:r>
      <w:r w:rsidR="004743CE" w:rsidRPr="00FF2CBC">
        <w:rPr>
          <w:rFonts w:ascii="Arial Narrow" w:hAnsi="Arial Narrow"/>
        </w:rPr>
        <w:t xml:space="preserve">FY 2015-16 budget, which the Department submits </w:t>
      </w:r>
      <w:r w:rsidR="00F26125" w:rsidRPr="00FF2CBC">
        <w:rPr>
          <w:rFonts w:ascii="Arial Narrow" w:hAnsi="Arial Narrow"/>
        </w:rPr>
        <w:t>to the Mayor’s Budget Office for approval</w:t>
      </w:r>
      <w:r w:rsidR="00E35771" w:rsidRPr="00FF2CBC">
        <w:rPr>
          <w:rFonts w:ascii="Arial Narrow" w:hAnsi="Arial Narrow"/>
        </w:rPr>
        <w:t xml:space="preserve">. </w:t>
      </w:r>
      <w:r w:rsidR="002707C8" w:rsidRPr="00FF2CBC">
        <w:rPr>
          <w:rFonts w:ascii="Arial Narrow" w:hAnsi="Arial Narrow"/>
        </w:rPr>
        <w:t>(</w:t>
      </w:r>
      <w:r w:rsidR="00E35771" w:rsidRPr="00FF2CBC">
        <w:rPr>
          <w:rFonts w:ascii="Arial Narrow" w:hAnsi="Arial Narrow"/>
        </w:rPr>
        <w:t>T</w:t>
      </w:r>
      <w:r w:rsidR="004743CE" w:rsidRPr="00FF2CBC">
        <w:rPr>
          <w:rFonts w:ascii="Arial Narrow" w:hAnsi="Arial Narrow"/>
        </w:rPr>
        <w:t>he Department</w:t>
      </w:r>
      <w:r w:rsidR="00E35771" w:rsidRPr="00FF2CBC">
        <w:rPr>
          <w:rFonts w:ascii="Arial Narrow" w:hAnsi="Arial Narrow"/>
        </w:rPr>
        <w:t xml:space="preserve"> has </w:t>
      </w:r>
      <w:r w:rsidR="00E35771" w:rsidRPr="00FF2CBC">
        <w:rPr>
          <w:rFonts w:ascii="Arial Narrow" w:hAnsi="Arial Narrow"/>
        </w:rPr>
        <w:t>a variable two-year budget</w:t>
      </w:r>
      <w:r w:rsidR="00E35771" w:rsidRPr="00FF2CBC">
        <w:rPr>
          <w:rFonts w:ascii="Arial Narrow" w:hAnsi="Arial Narrow"/>
        </w:rPr>
        <w:t xml:space="preserve">. During the second year of that budget, the Department may revise the budget that was </w:t>
      </w:r>
      <w:r w:rsidR="004743CE" w:rsidRPr="00FF2CBC">
        <w:rPr>
          <w:rFonts w:ascii="Arial Narrow" w:hAnsi="Arial Narrow"/>
        </w:rPr>
        <w:t xml:space="preserve">previously adopted </w:t>
      </w:r>
      <w:r w:rsidR="002707C8" w:rsidRPr="00FF2CBC">
        <w:rPr>
          <w:rFonts w:ascii="Arial Narrow" w:hAnsi="Arial Narrow"/>
        </w:rPr>
        <w:t>by the Board of Supervisors</w:t>
      </w:r>
      <w:r w:rsidR="00DF6C36" w:rsidRPr="00FF2CBC">
        <w:rPr>
          <w:rFonts w:ascii="Arial Narrow" w:hAnsi="Arial Narrow"/>
        </w:rPr>
        <w:t xml:space="preserve">) </w:t>
      </w:r>
      <w:r w:rsidR="004743CE" w:rsidRPr="00FF2CBC">
        <w:rPr>
          <w:rFonts w:ascii="Arial Narrow" w:hAnsi="Arial Narrow"/>
        </w:rPr>
        <w:t xml:space="preserve"> </w:t>
      </w:r>
    </w:p>
    <w:p w:rsidR="00E35771" w:rsidRPr="00FF2CBC" w:rsidRDefault="000F1090" w:rsidP="00FF2CBC">
      <w:pPr>
        <w:pStyle w:val="NoSpacing"/>
        <w:rPr>
          <w:rFonts w:ascii="Arial Narrow" w:hAnsi="Arial Narrow"/>
          <w:b/>
        </w:rPr>
      </w:pPr>
      <w:r w:rsidRPr="00FF2CBC">
        <w:rPr>
          <w:rFonts w:ascii="Arial Narrow" w:hAnsi="Arial Narrow"/>
          <w:b/>
        </w:rPr>
        <w:t>Change from FY 2015-16 Base Budget</w:t>
      </w:r>
      <w:r w:rsidR="00767BE2" w:rsidRPr="00FF2CBC">
        <w:rPr>
          <w:rFonts w:ascii="Arial Narrow" w:hAnsi="Arial Narrow"/>
        </w:rPr>
        <w:t xml:space="preserve"> </w:t>
      </w:r>
      <w:r w:rsidR="00767BE2" w:rsidRPr="00FF2CBC">
        <w:rPr>
          <w:rFonts w:ascii="Arial Narrow" w:hAnsi="Arial Narrow"/>
        </w:rPr>
        <w:t>–</w:t>
      </w:r>
      <w:r w:rsidR="00767BE2" w:rsidRPr="00FF2CBC">
        <w:rPr>
          <w:rFonts w:ascii="Arial Narrow" w:hAnsi="Arial Narrow"/>
        </w:rPr>
        <w:t xml:space="preserve"> Increase or Decrease</w:t>
      </w:r>
      <w:r w:rsidR="006E5C4D" w:rsidRPr="00FF2CBC">
        <w:rPr>
          <w:rFonts w:ascii="Arial Narrow" w:hAnsi="Arial Narrow"/>
        </w:rPr>
        <w:t xml:space="preserve"> reflected </w:t>
      </w:r>
      <w:r w:rsidR="00767BE2" w:rsidRPr="00FF2CBC">
        <w:rPr>
          <w:rFonts w:ascii="Arial Narrow" w:hAnsi="Arial Narrow"/>
        </w:rPr>
        <w:t xml:space="preserve">in the Department’s </w:t>
      </w:r>
      <w:r w:rsidR="00DF6C36" w:rsidRPr="00FF2CBC">
        <w:rPr>
          <w:rFonts w:ascii="Arial Narrow" w:hAnsi="Arial Narrow"/>
        </w:rPr>
        <w:t xml:space="preserve">proposal for a </w:t>
      </w:r>
      <w:r w:rsidR="00767BE2" w:rsidRPr="00FF2CBC">
        <w:rPr>
          <w:rFonts w:ascii="Arial Narrow" w:hAnsi="Arial Narrow"/>
        </w:rPr>
        <w:t xml:space="preserve">revised </w:t>
      </w:r>
      <w:r w:rsidR="004743CE" w:rsidRPr="00FF2CBC">
        <w:rPr>
          <w:rFonts w:ascii="Arial Narrow" w:hAnsi="Arial Narrow"/>
        </w:rPr>
        <w:t xml:space="preserve"> </w:t>
      </w:r>
      <w:r w:rsidR="00767BE2" w:rsidRPr="00FF2CBC">
        <w:rPr>
          <w:rFonts w:ascii="Arial Narrow" w:hAnsi="Arial Narrow"/>
        </w:rPr>
        <w:t>FY 2015-16</w:t>
      </w:r>
      <w:r w:rsidR="004743CE" w:rsidRPr="00FF2CBC">
        <w:rPr>
          <w:rFonts w:ascii="Arial Narrow" w:hAnsi="Arial Narrow"/>
        </w:rPr>
        <w:t xml:space="preserve"> budget</w:t>
      </w:r>
      <w:r w:rsidR="006E5C4D" w:rsidRPr="00FF2CBC">
        <w:rPr>
          <w:rFonts w:ascii="Arial Narrow" w:hAnsi="Arial Narrow"/>
        </w:rPr>
        <w:t xml:space="preserve">, compared to </w:t>
      </w:r>
      <w:r w:rsidR="00767BE2" w:rsidRPr="00FF2CBC">
        <w:rPr>
          <w:rFonts w:ascii="Arial Narrow" w:hAnsi="Arial Narrow"/>
        </w:rPr>
        <w:t>FY 2015-16</w:t>
      </w:r>
      <w:r w:rsidR="004743CE" w:rsidRPr="00FF2CBC">
        <w:rPr>
          <w:rFonts w:ascii="Arial Narrow" w:hAnsi="Arial Narrow"/>
        </w:rPr>
        <w:t xml:space="preserve"> budget</w:t>
      </w:r>
      <w:r w:rsidR="00DF6C36" w:rsidRPr="00FF2CBC">
        <w:rPr>
          <w:rFonts w:ascii="Arial Narrow" w:hAnsi="Arial Narrow"/>
        </w:rPr>
        <w:t xml:space="preserve">, which was adopted </w:t>
      </w:r>
      <w:r w:rsidR="002707C8" w:rsidRPr="00FF2CBC">
        <w:rPr>
          <w:rFonts w:ascii="Arial Narrow" w:hAnsi="Arial Narrow"/>
        </w:rPr>
        <w:t>by the Board of Supervisors</w:t>
      </w:r>
      <w:r w:rsidR="00DF6C36" w:rsidRPr="00FF2CBC">
        <w:rPr>
          <w:rFonts w:ascii="Arial Narrow" w:hAnsi="Arial Narrow"/>
        </w:rPr>
        <w:t xml:space="preserve"> last year </w:t>
      </w:r>
    </w:p>
    <w:p w:rsidR="00767BE2" w:rsidRPr="00FF2CBC" w:rsidRDefault="000F1090" w:rsidP="006E5C4D">
      <w:pPr>
        <w:pStyle w:val="NoSpacing"/>
        <w:rPr>
          <w:rFonts w:ascii="Arial Narrow" w:hAnsi="Arial Narrow"/>
        </w:rPr>
      </w:pPr>
      <w:r w:rsidRPr="00FF2CBC">
        <w:rPr>
          <w:rFonts w:ascii="Arial Narrow" w:hAnsi="Arial Narrow"/>
          <w:b/>
        </w:rPr>
        <w:t>FY 2016-17 Base Budget</w:t>
      </w:r>
      <w:r w:rsidRPr="00FF2CBC">
        <w:rPr>
          <w:rFonts w:ascii="Arial Narrow" w:hAnsi="Arial Narrow"/>
        </w:rPr>
        <w:t xml:space="preserve"> </w:t>
      </w:r>
      <w:r w:rsidR="00767BE2" w:rsidRPr="00FF2CBC">
        <w:rPr>
          <w:rFonts w:ascii="Arial Narrow" w:hAnsi="Arial Narrow"/>
        </w:rPr>
        <w:t>– For the purpose of completing Form 3A, i</w:t>
      </w:r>
      <w:r w:rsidR="00767BE2" w:rsidRPr="00FF2CBC">
        <w:rPr>
          <w:rFonts w:ascii="Arial Narrow" w:hAnsi="Arial Narrow"/>
        </w:rPr>
        <w:t xml:space="preserve">t is assumed that the Department’s </w:t>
      </w:r>
      <w:r w:rsidR="00DF6C36" w:rsidRPr="00FF2CBC">
        <w:rPr>
          <w:rFonts w:ascii="Arial Narrow" w:hAnsi="Arial Narrow"/>
        </w:rPr>
        <w:t xml:space="preserve">proposal for a </w:t>
      </w:r>
      <w:r w:rsidR="008F6D74" w:rsidRPr="00FF2CBC">
        <w:rPr>
          <w:rFonts w:ascii="Arial Narrow" w:hAnsi="Arial Narrow"/>
        </w:rPr>
        <w:t xml:space="preserve">revised </w:t>
      </w:r>
      <w:r w:rsidR="00DF6C36" w:rsidRPr="00FF2CBC">
        <w:rPr>
          <w:rFonts w:ascii="Arial Narrow" w:hAnsi="Arial Narrow"/>
        </w:rPr>
        <w:t xml:space="preserve">FY 2015-16 </w:t>
      </w:r>
      <w:r w:rsidR="00767BE2" w:rsidRPr="00FF2CBC">
        <w:rPr>
          <w:rFonts w:ascii="Arial Narrow" w:hAnsi="Arial Narrow"/>
        </w:rPr>
        <w:t>budget will be</w:t>
      </w:r>
      <w:r w:rsidR="002707C8" w:rsidRPr="00FF2CBC">
        <w:rPr>
          <w:rFonts w:ascii="Arial Narrow" w:hAnsi="Arial Narrow"/>
        </w:rPr>
        <w:t xml:space="preserve"> approved</w:t>
      </w:r>
      <w:r w:rsidR="00DF6C36" w:rsidRPr="00FF2CBC">
        <w:rPr>
          <w:rFonts w:ascii="Arial Narrow" w:hAnsi="Arial Narrow"/>
        </w:rPr>
        <w:t xml:space="preserve">, </w:t>
      </w:r>
      <w:r w:rsidR="00767BE2" w:rsidRPr="00FF2CBC">
        <w:rPr>
          <w:rFonts w:ascii="Arial Narrow" w:hAnsi="Arial Narrow"/>
        </w:rPr>
        <w:t>adopted</w:t>
      </w:r>
      <w:r w:rsidR="002707C8" w:rsidRPr="00FF2CBC">
        <w:rPr>
          <w:rFonts w:ascii="Arial Narrow" w:hAnsi="Arial Narrow"/>
        </w:rPr>
        <w:t xml:space="preserve">, </w:t>
      </w:r>
      <w:r w:rsidR="00767BE2" w:rsidRPr="00FF2CBC">
        <w:rPr>
          <w:rFonts w:ascii="Arial Narrow" w:hAnsi="Arial Narrow"/>
        </w:rPr>
        <w:t xml:space="preserve">and become </w:t>
      </w:r>
      <w:r w:rsidR="006E5C4D" w:rsidRPr="00FF2CBC">
        <w:rPr>
          <w:rFonts w:ascii="Arial Narrow" w:hAnsi="Arial Narrow"/>
        </w:rPr>
        <w:t xml:space="preserve">the </w:t>
      </w:r>
      <w:r w:rsidR="00767BE2" w:rsidRPr="00FF2CBC">
        <w:rPr>
          <w:rFonts w:ascii="Arial Narrow" w:hAnsi="Arial Narrow"/>
        </w:rPr>
        <w:t>FY 201</w:t>
      </w:r>
      <w:r w:rsidR="00767BE2" w:rsidRPr="00FF2CBC">
        <w:rPr>
          <w:rFonts w:ascii="Arial Narrow" w:hAnsi="Arial Narrow"/>
        </w:rPr>
        <w:t>6</w:t>
      </w:r>
      <w:r w:rsidR="00767BE2" w:rsidRPr="00FF2CBC">
        <w:rPr>
          <w:rFonts w:ascii="Arial Narrow" w:hAnsi="Arial Narrow"/>
        </w:rPr>
        <w:t>-1</w:t>
      </w:r>
      <w:r w:rsidR="00767BE2" w:rsidRPr="00FF2CBC">
        <w:rPr>
          <w:rFonts w:ascii="Arial Narrow" w:hAnsi="Arial Narrow"/>
        </w:rPr>
        <w:t>7</w:t>
      </w:r>
      <w:r w:rsidR="00767BE2" w:rsidRPr="00FF2CBC">
        <w:rPr>
          <w:rFonts w:ascii="Arial Narrow" w:hAnsi="Arial Narrow"/>
        </w:rPr>
        <w:t xml:space="preserve"> base budget </w:t>
      </w:r>
    </w:p>
    <w:p w:rsidR="00F26125" w:rsidRPr="00FF2CBC" w:rsidRDefault="000F1090" w:rsidP="006E5C4D">
      <w:pPr>
        <w:pStyle w:val="NoSpacing"/>
        <w:rPr>
          <w:rFonts w:ascii="Arial Narrow" w:hAnsi="Arial Narrow"/>
          <w:b/>
        </w:rPr>
      </w:pPr>
      <w:r w:rsidRPr="00FF2CBC">
        <w:rPr>
          <w:rFonts w:ascii="Arial Narrow" w:hAnsi="Arial Narrow"/>
          <w:b/>
        </w:rPr>
        <w:t xml:space="preserve">FY 2016-17 </w:t>
      </w:r>
      <w:proofErr w:type="spellStart"/>
      <w:r w:rsidRPr="00FF2CBC">
        <w:rPr>
          <w:rFonts w:ascii="Arial Narrow" w:hAnsi="Arial Narrow"/>
          <w:b/>
        </w:rPr>
        <w:t>Dept</w:t>
      </w:r>
      <w:proofErr w:type="spellEnd"/>
      <w:r w:rsidRPr="00FF2CBC">
        <w:rPr>
          <w:rFonts w:ascii="Arial Narrow" w:hAnsi="Arial Narrow"/>
          <w:b/>
        </w:rPr>
        <w:t xml:space="preserve"> Proposed</w:t>
      </w:r>
      <w:r w:rsidR="00767BE2" w:rsidRPr="00FF2CBC">
        <w:rPr>
          <w:rFonts w:ascii="Arial Narrow" w:hAnsi="Arial Narrow"/>
        </w:rPr>
        <w:t xml:space="preserve"> </w:t>
      </w:r>
      <w:r w:rsidR="00767BE2" w:rsidRPr="00FF2CBC">
        <w:rPr>
          <w:rFonts w:ascii="Arial Narrow" w:hAnsi="Arial Narrow"/>
        </w:rPr>
        <w:t>–</w:t>
      </w:r>
      <w:r w:rsidR="00767BE2" w:rsidRPr="00FF2CBC">
        <w:rPr>
          <w:rFonts w:ascii="Arial Narrow" w:hAnsi="Arial Narrow"/>
        </w:rPr>
        <w:t xml:space="preserve"> </w:t>
      </w:r>
      <w:r w:rsidR="00767BE2" w:rsidRPr="00FF2CBC">
        <w:rPr>
          <w:rFonts w:ascii="Arial Narrow" w:hAnsi="Arial Narrow"/>
        </w:rPr>
        <w:t xml:space="preserve">Department’s </w:t>
      </w:r>
      <w:r w:rsidR="00767BE2" w:rsidRPr="00FF2CBC">
        <w:rPr>
          <w:rFonts w:ascii="Arial Narrow" w:hAnsi="Arial Narrow"/>
        </w:rPr>
        <w:t xml:space="preserve">proposed </w:t>
      </w:r>
      <w:r w:rsidR="004743CE" w:rsidRPr="00FF2CBC">
        <w:rPr>
          <w:rFonts w:ascii="Arial Narrow" w:hAnsi="Arial Narrow"/>
        </w:rPr>
        <w:t xml:space="preserve">FY 2016-17 </w:t>
      </w:r>
      <w:proofErr w:type="gramStart"/>
      <w:r w:rsidR="00767BE2" w:rsidRPr="00FF2CBC">
        <w:rPr>
          <w:rFonts w:ascii="Arial Narrow" w:hAnsi="Arial Narrow"/>
        </w:rPr>
        <w:t>budget</w:t>
      </w:r>
      <w:proofErr w:type="gramEnd"/>
      <w:r w:rsidR="006E5C4D" w:rsidRPr="00FF2CBC">
        <w:rPr>
          <w:rFonts w:ascii="Arial Narrow" w:hAnsi="Arial Narrow"/>
        </w:rPr>
        <w:t xml:space="preserve">, which </w:t>
      </w:r>
      <w:r w:rsidR="00767BE2" w:rsidRPr="00FF2CBC">
        <w:rPr>
          <w:rFonts w:ascii="Arial Narrow" w:hAnsi="Arial Narrow"/>
        </w:rPr>
        <w:t xml:space="preserve">the Department </w:t>
      </w:r>
      <w:r w:rsidR="006E5C4D" w:rsidRPr="00FF2CBC">
        <w:rPr>
          <w:rFonts w:ascii="Arial Narrow" w:hAnsi="Arial Narrow"/>
        </w:rPr>
        <w:t>submit</w:t>
      </w:r>
      <w:r w:rsidR="008F6D74" w:rsidRPr="00FF2CBC">
        <w:rPr>
          <w:rFonts w:ascii="Arial Narrow" w:hAnsi="Arial Narrow"/>
        </w:rPr>
        <w:t>s</w:t>
      </w:r>
      <w:r w:rsidR="006E5C4D" w:rsidRPr="00FF2CBC">
        <w:rPr>
          <w:rFonts w:ascii="Arial Narrow" w:hAnsi="Arial Narrow"/>
        </w:rPr>
        <w:t xml:space="preserve"> </w:t>
      </w:r>
      <w:r w:rsidR="00F26125" w:rsidRPr="00FF2CBC">
        <w:rPr>
          <w:rFonts w:ascii="Arial Narrow" w:hAnsi="Arial Narrow"/>
        </w:rPr>
        <w:t>to the Mayor’s Budget Office</w:t>
      </w:r>
      <w:r w:rsidR="00F26125" w:rsidRPr="00FF2CBC">
        <w:rPr>
          <w:rFonts w:ascii="Arial Narrow" w:hAnsi="Arial Narrow"/>
          <w:b/>
        </w:rPr>
        <w:t xml:space="preserve"> </w:t>
      </w:r>
      <w:r w:rsidR="00F26125" w:rsidRPr="00FF2CBC">
        <w:rPr>
          <w:rFonts w:ascii="Arial Narrow" w:hAnsi="Arial Narrow"/>
        </w:rPr>
        <w:t>for approval</w:t>
      </w:r>
    </w:p>
    <w:p w:rsidR="00767BE2" w:rsidRPr="00FF2CBC" w:rsidRDefault="000F1090" w:rsidP="006E5C4D">
      <w:pPr>
        <w:pStyle w:val="NoSpacing"/>
        <w:rPr>
          <w:rFonts w:ascii="Arial Narrow" w:hAnsi="Arial Narrow"/>
        </w:rPr>
      </w:pPr>
      <w:r w:rsidRPr="00FF2CBC">
        <w:rPr>
          <w:rFonts w:ascii="Arial Narrow" w:hAnsi="Arial Narrow"/>
          <w:b/>
        </w:rPr>
        <w:t>Change from FY 2016-17 Base Budget</w:t>
      </w:r>
      <w:r w:rsidRPr="00FF2CBC">
        <w:rPr>
          <w:rFonts w:ascii="Arial Narrow" w:hAnsi="Arial Narrow"/>
        </w:rPr>
        <w:t xml:space="preserve"> </w:t>
      </w:r>
      <w:r w:rsidR="00767BE2" w:rsidRPr="00FF2CBC">
        <w:rPr>
          <w:rFonts w:ascii="Arial Narrow" w:hAnsi="Arial Narrow"/>
        </w:rPr>
        <w:t>–</w:t>
      </w:r>
      <w:r w:rsidR="00767BE2" w:rsidRPr="00FF2CBC">
        <w:rPr>
          <w:rFonts w:ascii="Arial Narrow" w:hAnsi="Arial Narrow"/>
        </w:rPr>
        <w:t xml:space="preserve"> </w:t>
      </w:r>
      <w:r w:rsidR="00767BE2" w:rsidRPr="00FF2CBC">
        <w:rPr>
          <w:rFonts w:ascii="Arial Narrow" w:hAnsi="Arial Narrow"/>
        </w:rPr>
        <w:t xml:space="preserve">Increase or Decrease </w:t>
      </w:r>
      <w:r w:rsidR="006E5C4D" w:rsidRPr="00FF2CBC">
        <w:rPr>
          <w:rFonts w:ascii="Arial Narrow" w:hAnsi="Arial Narrow"/>
        </w:rPr>
        <w:t xml:space="preserve">reflected </w:t>
      </w:r>
      <w:r w:rsidR="00767BE2" w:rsidRPr="00FF2CBC">
        <w:rPr>
          <w:rFonts w:ascii="Arial Narrow" w:hAnsi="Arial Narrow"/>
        </w:rPr>
        <w:t xml:space="preserve">in the Department’s </w:t>
      </w:r>
      <w:r w:rsidR="00D866E4" w:rsidRPr="00FF2CBC">
        <w:rPr>
          <w:rFonts w:ascii="Arial Narrow" w:hAnsi="Arial Narrow"/>
        </w:rPr>
        <w:t xml:space="preserve">proposed </w:t>
      </w:r>
      <w:r w:rsidR="004743CE" w:rsidRPr="00FF2CBC">
        <w:rPr>
          <w:rFonts w:ascii="Arial Narrow" w:hAnsi="Arial Narrow"/>
        </w:rPr>
        <w:t xml:space="preserve">FY 2016-17 </w:t>
      </w:r>
      <w:proofErr w:type="gramStart"/>
      <w:r w:rsidR="00D866E4" w:rsidRPr="00FF2CBC">
        <w:rPr>
          <w:rFonts w:ascii="Arial Narrow" w:hAnsi="Arial Narrow"/>
        </w:rPr>
        <w:t>budget</w:t>
      </w:r>
      <w:proofErr w:type="gramEnd"/>
      <w:r w:rsidR="00F26125" w:rsidRPr="00FF2CBC">
        <w:rPr>
          <w:rFonts w:ascii="Arial Narrow" w:hAnsi="Arial Narrow"/>
        </w:rPr>
        <w:t xml:space="preserve">, </w:t>
      </w:r>
      <w:r w:rsidR="006E5C4D" w:rsidRPr="00FF2CBC">
        <w:rPr>
          <w:rFonts w:ascii="Arial Narrow" w:hAnsi="Arial Narrow"/>
        </w:rPr>
        <w:t xml:space="preserve">compared to </w:t>
      </w:r>
      <w:r w:rsidR="00767BE2" w:rsidRPr="00FF2CBC">
        <w:rPr>
          <w:rFonts w:ascii="Arial Narrow" w:hAnsi="Arial Narrow"/>
        </w:rPr>
        <w:t xml:space="preserve">the </w:t>
      </w:r>
      <w:r w:rsidR="00D866E4" w:rsidRPr="00FF2CBC">
        <w:rPr>
          <w:rFonts w:ascii="Arial Narrow" w:hAnsi="Arial Narrow"/>
        </w:rPr>
        <w:t xml:space="preserve">FY 2016-17 </w:t>
      </w:r>
      <w:r w:rsidR="008F6D74" w:rsidRPr="00FF2CBC">
        <w:rPr>
          <w:rFonts w:ascii="Arial Narrow" w:hAnsi="Arial Narrow"/>
        </w:rPr>
        <w:t>b</w:t>
      </w:r>
      <w:r w:rsidR="00D866E4" w:rsidRPr="00FF2CBC">
        <w:rPr>
          <w:rFonts w:ascii="Arial Narrow" w:hAnsi="Arial Narrow"/>
        </w:rPr>
        <w:t xml:space="preserve">ase </w:t>
      </w:r>
      <w:r w:rsidR="008F6D74" w:rsidRPr="00FF2CBC">
        <w:rPr>
          <w:rFonts w:ascii="Arial Narrow" w:hAnsi="Arial Narrow"/>
        </w:rPr>
        <w:t>b</w:t>
      </w:r>
      <w:r w:rsidR="00D866E4" w:rsidRPr="00FF2CBC">
        <w:rPr>
          <w:rFonts w:ascii="Arial Narrow" w:hAnsi="Arial Narrow"/>
        </w:rPr>
        <w:t>udget</w:t>
      </w:r>
      <w:r w:rsidR="008F6D74" w:rsidRPr="00FF2CBC">
        <w:rPr>
          <w:rFonts w:ascii="Arial Narrow" w:hAnsi="Arial Narrow"/>
        </w:rPr>
        <w:t xml:space="preserve">. </w:t>
      </w:r>
      <w:r w:rsidR="00D866E4" w:rsidRPr="00FF2CBC">
        <w:rPr>
          <w:rFonts w:ascii="Arial Narrow" w:hAnsi="Arial Narrow"/>
        </w:rPr>
        <w:t xml:space="preserve"> </w:t>
      </w:r>
    </w:p>
    <w:p w:rsidR="00462A65" w:rsidRPr="00FF2CBC" w:rsidRDefault="00462A65" w:rsidP="00924ABA">
      <w:pPr>
        <w:rPr>
          <w:rFonts w:ascii="Arial Narrow" w:hAnsi="Arial Narrow" w:cs="Arial"/>
          <w:spacing w:val="0"/>
          <w:sz w:val="24"/>
          <w:szCs w:val="24"/>
        </w:rPr>
      </w:pPr>
    </w:p>
    <w:p w:rsidR="00767BE2" w:rsidRPr="00FF2CBC" w:rsidRDefault="00767BE2" w:rsidP="00924ABA">
      <w:pPr>
        <w:rPr>
          <w:rFonts w:ascii="Arial Narrow" w:hAnsi="Arial Narrow" w:cs="Arial"/>
          <w:spacing w:val="0"/>
          <w:sz w:val="24"/>
          <w:szCs w:val="24"/>
        </w:rPr>
      </w:pPr>
      <w:r w:rsidRPr="00FF2CBC">
        <w:rPr>
          <w:rFonts w:ascii="Arial Narrow" w:hAnsi="Arial Narrow" w:cs="Arial"/>
          <w:spacing w:val="0"/>
          <w:sz w:val="24"/>
          <w:szCs w:val="24"/>
        </w:rPr>
        <w:t>Following are descriptions of the projected expenses budgeted under each object allocated in the Department’s budget.</w:t>
      </w:r>
    </w:p>
    <w:p w:rsidR="00924ABA" w:rsidRPr="00C82375" w:rsidRDefault="00924ABA" w:rsidP="00924ABA">
      <w:pPr>
        <w:rPr>
          <w:rFonts w:ascii="Arial Narrow" w:hAnsi="Arial Narrow" w:cs="Arial"/>
          <w:spacing w:val="0"/>
          <w:sz w:val="24"/>
          <w:szCs w:val="24"/>
        </w:rPr>
      </w:pPr>
    </w:p>
    <w:p w:rsidR="00924ABA" w:rsidRPr="00C82375" w:rsidRDefault="00924ABA" w:rsidP="00774578">
      <w:pPr>
        <w:ind w:left="720"/>
        <w:rPr>
          <w:rFonts w:ascii="Arial Narrow" w:hAnsi="Arial Narrow" w:cs="Arial"/>
          <w:b/>
          <w:sz w:val="24"/>
          <w:szCs w:val="24"/>
        </w:rPr>
      </w:pPr>
      <w:r w:rsidRPr="00C82375">
        <w:rPr>
          <w:rFonts w:ascii="Arial Narrow" w:hAnsi="Arial Narrow" w:cs="Arial"/>
          <w:b/>
          <w:sz w:val="24"/>
          <w:szCs w:val="24"/>
        </w:rPr>
        <w:t>Permanent Salaries (Object 001</w:t>
      </w:r>
      <w:r w:rsidR="00F14D46" w:rsidRPr="00C82375">
        <w:rPr>
          <w:rFonts w:ascii="Arial Narrow" w:hAnsi="Arial Narrow" w:cs="Arial"/>
          <w:b/>
          <w:sz w:val="24"/>
          <w:szCs w:val="24"/>
        </w:rPr>
        <w:t>)</w:t>
      </w:r>
    </w:p>
    <w:p w:rsidR="00A4320F" w:rsidRPr="00C82375" w:rsidRDefault="00CB490B" w:rsidP="00924ABA">
      <w:pPr>
        <w:rPr>
          <w:rFonts w:ascii="Arial Narrow" w:hAnsi="Arial Narrow" w:cs="Arial"/>
          <w:spacing w:val="0"/>
          <w:sz w:val="24"/>
          <w:szCs w:val="24"/>
        </w:rPr>
      </w:pPr>
      <w:r w:rsidRPr="00C82375">
        <w:rPr>
          <w:rFonts w:ascii="Arial Narrow" w:hAnsi="Arial Narrow" w:cs="Arial"/>
          <w:spacing w:val="0"/>
          <w:sz w:val="24"/>
          <w:szCs w:val="24"/>
        </w:rPr>
        <w:t xml:space="preserve">This object includes funding allocated to salaries associated with </w:t>
      </w:r>
      <w:r w:rsidR="00924ABA" w:rsidRPr="00C82375">
        <w:rPr>
          <w:rFonts w:ascii="Arial Narrow" w:hAnsi="Arial Narrow" w:cs="Arial"/>
          <w:spacing w:val="0"/>
          <w:sz w:val="24"/>
          <w:szCs w:val="24"/>
        </w:rPr>
        <w:t xml:space="preserve">full-time permanent positions currently funded under the Annual Salary Ordinance for FY 2015-16. </w:t>
      </w:r>
    </w:p>
    <w:p w:rsidR="00F14D46" w:rsidRPr="00C82375" w:rsidRDefault="00F14D46" w:rsidP="00924ABA">
      <w:pPr>
        <w:rPr>
          <w:rFonts w:ascii="Arial Narrow" w:hAnsi="Arial Narrow" w:cs="Arial"/>
          <w:spacing w:val="0"/>
          <w:sz w:val="24"/>
          <w:szCs w:val="24"/>
        </w:rPr>
      </w:pPr>
    </w:p>
    <w:p w:rsidR="00924ABA" w:rsidRPr="00C82375" w:rsidRDefault="00924ABA" w:rsidP="00774578">
      <w:pPr>
        <w:ind w:left="720"/>
        <w:rPr>
          <w:rFonts w:ascii="Arial Narrow" w:hAnsi="Arial Narrow" w:cs="Arial"/>
          <w:b/>
          <w:sz w:val="24"/>
          <w:szCs w:val="24"/>
        </w:rPr>
      </w:pPr>
      <w:r w:rsidRPr="00C82375">
        <w:rPr>
          <w:rFonts w:ascii="Arial Narrow" w:hAnsi="Arial Narrow" w:cs="Arial"/>
          <w:b/>
          <w:sz w:val="24"/>
          <w:szCs w:val="24"/>
        </w:rPr>
        <w:t>Temporary Salaries</w:t>
      </w:r>
      <w:r w:rsidR="00056FBB" w:rsidRPr="00C82375">
        <w:rPr>
          <w:rFonts w:ascii="Arial Narrow" w:hAnsi="Arial Narrow" w:cs="Arial"/>
          <w:b/>
          <w:sz w:val="24"/>
          <w:szCs w:val="24"/>
        </w:rPr>
        <w:t xml:space="preserve"> (</w:t>
      </w:r>
      <w:r w:rsidRPr="00C82375">
        <w:rPr>
          <w:rFonts w:ascii="Arial Narrow" w:hAnsi="Arial Narrow" w:cs="Arial"/>
          <w:b/>
          <w:sz w:val="24"/>
          <w:szCs w:val="24"/>
        </w:rPr>
        <w:t>Object 005</w:t>
      </w:r>
      <w:r w:rsidR="00056FBB" w:rsidRPr="00C82375">
        <w:rPr>
          <w:rFonts w:ascii="Arial Narrow" w:hAnsi="Arial Narrow" w:cs="Arial"/>
          <w:b/>
          <w:sz w:val="24"/>
          <w:szCs w:val="24"/>
        </w:rPr>
        <w:t xml:space="preserve">) </w:t>
      </w:r>
    </w:p>
    <w:p w:rsidR="00F44D42" w:rsidRDefault="00CB490B" w:rsidP="00CF767A">
      <w:pPr>
        <w:autoSpaceDE w:val="0"/>
        <w:autoSpaceDN w:val="0"/>
        <w:adjustRightInd w:val="0"/>
        <w:rPr>
          <w:rFonts w:ascii="Arial Narrow" w:hAnsi="Arial Narrow"/>
          <w:color w:val="000000"/>
          <w:sz w:val="24"/>
          <w:szCs w:val="24"/>
        </w:rPr>
      </w:pPr>
      <w:r w:rsidRPr="00C82375">
        <w:rPr>
          <w:rFonts w:ascii="Arial Narrow" w:hAnsi="Arial Narrow" w:cs="Arial"/>
          <w:spacing w:val="0"/>
          <w:sz w:val="24"/>
          <w:szCs w:val="24"/>
        </w:rPr>
        <w:t xml:space="preserve">This object includes funding allocated to salaries associated with seasonal </w:t>
      </w:r>
      <w:r w:rsidR="00F44D42" w:rsidRPr="00C82375">
        <w:rPr>
          <w:rFonts w:ascii="Arial Narrow" w:hAnsi="Arial Narrow" w:cs="Arial"/>
          <w:spacing w:val="0"/>
          <w:sz w:val="24"/>
          <w:szCs w:val="24"/>
        </w:rPr>
        <w:t>as-</w:t>
      </w:r>
      <w:r w:rsidRPr="00C82375">
        <w:rPr>
          <w:rFonts w:ascii="Arial Narrow" w:hAnsi="Arial Narrow" w:cs="Arial"/>
          <w:spacing w:val="0"/>
          <w:sz w:val="24"/>
          <w:szCs w:val="24"/>
        </w:rPr>
        <w:t xml:space="preserve">needed positions. </w:t>
      </w:r>
      <w:r w:rsidR="00F44D42" w:rsidRPr="00C82375">
        <w:rPr>
          <w:rFonts w:ascii="Arial Narrow" w:hAnsi="Arial Narrow" w:cs="Arial"/>
          <w:spacing w:val="0"/>
          <w:sz w:val="24"/>
          <w:szCs w:val="24"/>
        </w:rPr>
        <w:t xml:space="preserve">Every election, the Department fills these positions with seasonal </w:t>
      </w:r>
      <w:r w:rsidRPr="00C82375">
        <w:rPr>
          <w:rFonts w:ascii="Arial Narrow" w:hAnsi="Arial Narrow" w:cs="Arial"/>
          <w:spacing w:val="0"/>
          <w:sz w:val="24"/>
          <w:szCs w:val="24"/>
        </w:rPr>
        <w:t>personnel</w:t>
      </w:r>
      <w:r w:rsidR="00460B97">
        <w:rPr>
          <w:rFonts w:ascii="Arial Narrow" w:hAnsi="Arial Narrow" w:cs="Arial"/>
          <w:spacing w:val="0"/>
          <w:sz w:val="24"/>
          <w:szCs w:val="24"/>
        </w:rPr>
        <w:t>,</w:t>
      </w:r>
      <w:r w:rsidRPr="00C82375">
        <w:rPr>
          <w:rFonts w:ascii="Arial Narrow" w:hAnsi="Arial Narrow" w:cs="Arial"/>
          <w:spacing w:val="0"/>
          <w:sz w:val="24"/>
          <w:szCs w:val="24"/>
        </w:rPr>
        <w:t xml:space="preserve"> for periods ranging from one day to four months</w:t>
      </w:r>
      <w:r w:rsidR="00460B97">
        <w:rPr>
          <w:rFonts w:ascii="Arial Narrow" w:hAnsi="Arial Narrow" w:cs="Arial"/>
          <w:spacing w:val="0"/>
          <w:sz w:val="24"/>
          <w:szCs w:val="24"/>
        </w:rPr>
        <w:t>,</w:t>
      </w:r>
      <w:r w:rsidRPr="00C82375">
        <w:rPr>
          <w:rFonts w:ascii="Arial Narrow" w:hAnsi="Arial Narrow" w:cs="Arial"/>
          <w:spacing w:val="0"/>
          <w:sz w:val="24"/>
          <w:szCs w:val="24"/>
        </w:rPr>
        <w:t xml:space="preserve"> </w:t>
      </w:r>
      <w:r w:rsidRPr="00C82375">
        <w:rPr>
          <w:rFonts w:ascii="Arial Narrow" w:hAnsi="Arial Narrow"/>
          <w:color w:val="000000"/>
          <w:sz w:val="24"/>
          <w:szCs w:val="24"/>
        </w:rPr>
        <w:t>to meet multiple statutory deadlines imposed by federal, state, and municipal laws, as well as various vendors' production schedules</w:t>
      </w:r>
      <w:r w:rsidR="00F975F8">
        <w:rPr>
          <w:rFonts w:ascii="Arial Narrow" w:hAnsi="Arial Narrow"/>
          <w:color w:val="000000"/>
          <w:sz w:val="24"/>
          <w:szCs w:val="24"/>
        </w:rPr>
        <w:t xml:space="preserve">. </w:t>
      </w:r>
      <w:r w:rsidRPr="00C82375">
        <w:rPr>
          <w:rFonts w:ascii="Arial Narrow" w:hAnsi="Arial Narrow"/>
          <w:color w:val="000000"/>
          <w:sz w:val="24"/>
          <w:szCs w:val="24"/>
        </w:rPr>
        <w:t xml:space="preserve"> </w:t>
      </w:r>
    </w:p>
    <w:p w:rsidR="00803332" w:rsidRDefault="00803332" w:rsidP="00803332">
      <w:pPr>
        <w:ind w:left="720"/>
        <w:rPr>
          <w:rFonts w:ascii="Arial Narrow" w:hAnsi="Arial Narrow"/>
          <w:color w:val="000000"/>
          <w:sz w:val="24"/>
          <w:szCs w:val="24"/>
        </w:rPr>
      </w:pPr>
    </w:p>
    <w:p w:rsidR="00803332" w:rsidRDefault="00803332" w:rsidP="00803332">
      <w:pPr>
        <w:autoSpaceDE w:val="0"/>
        <w:autoSpaceDN w:val="0"/>
        <w:adjustRightInd w:val="0"/>
        <w:ind w:firstLine="720"/>
        <w:rPr>
          <w:rFonts w:ascii="Arial Narrow" w:hAnsi="Arial Narrow"/>
          <w:b/>
          <w:color w:val="000000"/>
          <w:sz w:val="24"/>
          <w:szCs w:val="24"/>
        </w:rPr>
      </w:pPr>
      <w:r w:rsidRPr="00803332">
        <w:rPr>
          <w:rFonts w:ascii="Arial Narrow" w:hAnsi="Arial Narrow"/>
          <w:b/>
          <w:color w:val="000000"/>
          <w:sz w:val="24"/>
          <w:szCs w:val="24"/>
        </w:rPr>
        <w:lastRenderedPageBreak/>
        <w:t xml:space="preserve">Premium Pay </w:t>
      </w:r>
      <w:r>
        <w:rPr>
          <w:rFonts w:ascii="Arial Narrow" w:hAnsi="Arial Narrow"/>
          <w:b/>
          <w:color w:val="000000"/>
          <w:sz w:val="24"/>
          <w:szCs w:val="24"/>
        </w:rPr>
        <w:t>(Object 009)</w:t>
      </w:r>
    </w:p>
    <w:p w:rsidR="00F44D42" w:rsidRPr="004F5BDC" w:rsidRDefault="00803332" w:rsidP="004F5BDC">
      <w:pPr>
        <w:rPr>
          <w:rFonts w:ascii="Arial Narrow" w:hAnsi="Arial Narrow" w:cs="Arial"/>
          <w:spacing w:val="0"/>
          <w:sz w:val="24"/>
          <w:szCs w:val="24"/>
        </w:rPr>
      </w:pPr>
      <w:r w:rsidRPr="004F5BDC">
        <w:rPr>
          <w:rFonts w:ascii="Arial Narrow" w:hAnsi="Arial Narrow" w:cs="Arial"/>
          <w:color w:val="000000"/>
          <w:sz w:val="24"/>
          <w:szCs w:val="24"/>
        </w:rPr>
        <w:t xml:space="preserve">This </w:t>
      </w:r>
      <w:r w:rsidR="006D6D0F" w:rsidRPr="004F5BDC">
        <w:rPr>
          <w:rFonts w:ascii="Arial Narrow" w:hAnsi="Arial Narrow" w:cs="Arial"/>
          <w:color w:val="000000"/>
          <w:sz w:val="24"/>
          <w:szCs w:val="24"/>
        </w:rPr>
        <w:t xml:space="preserve">object includes funding </w:t>
      </w:r>
      <w:r w:rsidR="004F5BDC" w:rsidRPr="004F5BDC">
        <w:rPr>
          <w:rFonts w:ascii="Arial Narrow" w:hAnsi="Arial Narrow" w:cs="Arial"/>
          <w:color w:val="000000"/>
          <w:sz w:val="24"/>
          <w:szCs w:val="24"/>
        </w:rPr>
        <w:t xml:space="preserve">allocated to compensate employees who </w:t>
      </w:r>
      <w:r w:rsidR="004F5BDC" w:rsidRPr="004F5BDC">
        <w:rPr>
          <w:rFonts w:ascii="Arial Narrow" w:hAnsi="Arial Narrow" w:cs="Arial"/>
          <w:spacing w:val="0"/>
          <w:sz w:val="24"/>
          <w:szCs w:val="24"/>
        </w:rPr>
        <w:t xml:space="preserve">provide bilingual services to the Department’s customers. </w:t>
      </w:r>
    </w:p>
    <w:p w:rsidR="00DF6C36" w:rsidRDefault="00DF6C36" w:rsidP="00F44D42">
      <w:pPr>
        <w:ind w:left="720"/>
        <w:rPr>
          <w:rFonts w:ascii="Arial Narrow" w:hAnsi="Arial Narrow" w:cs="Arial"/>
          <w:b/>
          <w:spacing w:val="0"/>
          <w:sz w:val="24"/>
          <w:szCs w:val="24"/>
        </w:rPr>
      </w:pPr>
    </w:p>
    <w:p w:rsidR="00F44D42" w:rsidRPr="00C82375" w:rsidRDefault="00056FBB" w:rsidP="00F44D42">
      <w:pPr>
        <w:ind w:left="720"/>
        <w:rPr>
          <w:rFonts w:ascii="Arial Narrow" w:hAnsi="Arial Narrow" w:cs="Arial"/>
          <w:b/>
          <w:spacing w:val="0"/>
          <w:sz w:val="24"/>
          <w:szCs w:val="24"/>
        </w:rPr>
      </w:pPr>
      <w:r w:rsidRPr="00C82375">
        <w:rPr>
          <w:rFonts w:ascii="Arial Narrow" w:hAnsi="Arial Narrow" w:cs="Arial"/>
          <w:b/>
          <w:spacing w:val="0"/>
          <w:sz w:val="24"/>
          <w:szCs w:val="24"/>
        </w:rPr>
        <w:t xml:space="preserve">Overtime </w:t>
      </w:r>
      <w:r w:rsidR="00F05F28" w:rsidRPr="00C82375">
        <w:rPr>
          <w:rFonts w:ascii="Arial Narrow" w:hAnsi="Arial Narrow" w:cs="Arial"/>
          <w:b/>
          <w:spacing w:val="0"/>
          <w:sz w:val="24"/>
          <w:szCs w:val="24"/>
        </w:rPr>
        <w:t>Pay</w:t>
      </w:r>
      <w:r w:rsidR="00F44D42" w:rsidRPr="00C82375">
        <w:rPr>
          <w:rFonts w:ascii="Arial Narrow" w:hAnsi="Arial Narrow" w:cs="Arial"/>
          <w:b/>
          <w:spacing w:val="0"/>
          <w:sz w:val="24"/>
          <w:szCs w:val="24"/>
        </w:rPr>
        <w:t xml:space="preserve"> and Holiday Pay </w:t>
      </w:r>
      <w:r w:rsidRPr="00C82375">
        <w:rPr>
          <w:rFonts w:ascii="Arial Narrow" w:hAnsi="Arial Narrow" w:cs="Arial"/>
          <w:b/>
          <w:spacing w:val="0"/>
          <w:sz w:val="24"/>
          <w:szCs w:val="24"/>
        </w:rPr>
        <w:t>(Object 011</w:t>
      </w:r>
      <w:r w:rsidR="00F44D42" w:rsidRPr="00C82375">
        <w:rPr>
          <w:rFonts w:ascii="Arial Narrow" w:hAnsi="Arial Narrow" w:cs="Arial"/>
          <w:b/>
          <w:sz w:val="24"/>
          <w:szCs w:val="24"/>
        </w:rPr>
        <w:t>–012</w:t>
      </w:r>
      <w:r w:rsidRPr="00C82375">
        <w:rPr>
          <w:rFonts w:ascii="Arial Narrow" w:hAnsi="Arial Narrow" w:cs="Arial"/>
          <w:b/>
          <w:spacing w:val="0"/>
          <w:sz w:val="24"/>
          <w:szCs w:val="24"/>
        </w:rPr>
        <w:t>)</w:t>
      </w:r>
    </w:p>
    <w:p w:rsidR="00A52ADC" w:rsidRDefault="00F44D42" w:rsidP="00924ABA">
      <w:pPr>
        <w:rPr>
          <w:rFonts w:ascii="Arial Narrow" w:hAnsi="Arial Narrow"/>
          <w:color w:val="000000"/>
          <w:sz w:val="24"/>
          <w:szCs w:val="24"/>
        </w:rPr>
      </w:pPr>
      <w:r w:rsidRPr="00C82375">
        <w:rPr>
          <w:rFonts w:ascii="Arial Narrow" w:hAnsi="Arial Narrow" w:cs="Arial"/>
          <w:spacing w:val="0"/>
          <w:sz w:val="24"/>
          <w:szCs w:val="24"/>
        </w:rPr>
        <w:t xml:space="preserve">These objects include the Department’s projections for the </w:t>
      </w:r>
      <w:r w:rsidRPr="00C82375">
        <w:rPr>
          <w:rFonts w:ascii="Arial Narrow" w:hAnsi="Arial Narrow"/>
          <w:color w:val="000000"/>
          <w:sz w:val="24"/>
          <w:szCs w:val="24"/>
        </w:rPr>
        <w:t>overtime</w:t>
      </w:r>
      <w:r w:rsidR="00E45F20">
        <w:rPr>
          <w:rFonts w:ascii="Arial Narrow" w:hAnsi="Arial Narrow"/>
          <w:color w:val="000000"/>
          <w:sz w:val="24"/>
          <w:szCs w:val="24"/>
        </w:rPr>
        <w:t xml:space="preserve"> and </w:t>
      </w:r>
      <w:r w:rsidRPr="00C82375">
        <w:rPr>
          <w:rFonts w:ascii="Arial Narrow" w:hAnsi="Arial Narrow"/>
          <w:color w:val="000000"/>
          <w:sz w:val="24"/>
          <w:szCs w:val="24"/>
        </w:rPr>
        <w:t xml:space="preserve">work on </w:t>
      </w:r>
      <w:r w:rsidR="006B400E" w:rsidRPr="00C82375">
        <w:rPr>
          <w:rFonts w:ascii="Arial Narrow" w:hAnsi="Arial Narrow"/>
          <w:color w:val="000000"/>
          <w:sz w:val="24"/>
          <w:szCs w:val="24"/>
        </w:rPr>
        <w:t xml:space="preserve">legal </w:t>
      </w:r>
      <w:r w:rsidRPr="00C82375">
        <w:rPr>
          <w:rFonts w:ascii="Arial Narrow" w:hAnsi="Arial Narrow"/>
          <w:color w:val="000000"/>
          <w:sz w:val="24"/>
          <w:szCs w:val="24"/>
        </w:rPr>
        <w:t xml:space="preserve">holidays that will likely be required from permanent and temporary staff to </w:t>
      </w:r>
      <w:r w:rsidR="006B400E" w:rsidRPr="00C82375">
        <w:rPr>
          <w:rFonts w:ascii="Arial Narrow" w:hAnsi="Arial Narrow"/>
          <w:color w:val="000000"/>
          <w:sz w:val="24"/>
          <w:szCs w:val="24"/>
        </w:rPr>
        <w:t xml:space="preserve">meet deadlines </w:t>
      </w:r>
      <w:r w:rsidR="0035548C">
        <w:rPr>
          <w:rFonts w:ascii="Arial Narrow" w:hAnsi="Arial Narrow"/>
          <w:color w:val="000000"/>
          <w:sz w:val="24"/>
          <w:szCs w:val="24"/>
        </w:rPr>
        <w:t>of the two scheduled elections.</w:t>
      </w:r>
    </w:p>
    <w:p w:rsidR="00BC1621" w:rsidRPr="00C82375" w:rsidRDefault="00A52ADC" w:rsidP="00924ABA">
      <w:pPr>
        <w:rPr>
          <w:rFonts w:ascii="Arial Narrow" w:hAnsi="Arial Narrow" w:cs="Arial"/>
          <w:b/>
          <w:spacing w:val="0"/>
          <w:sz w:val="24"/>
          <w:szCs w:val="24"/>
        </w:rPr>
      </w:pPr>
      <w:r w:rsidRPr="00C82375">
        <w:rPr>
          <w:rFonts w:ascii="Arial Narrow" w:hAnsi="Arial Narrow" w:cs="Arial"/>
          <w:b/>
          <w:spacing w:val="0"/>
          <w:sz w:val="24"/>
          <w:szCs w:val="24"/>
        </w:rPr>
        <w:t xml:space="preserve"> </w:t>
      </w:r>
    </w:p>
    <w:p w:rsidR="00056FBB" w:rsidRPr="00C82375" w:rsidRDefault="006B400E" w:rsidP="00774578">
      <w:pPr>
        <w:ind w:left="720"/>
        <w:rPr>
          <w:rFonts w:ascii="Arial Narrow" w:hAnsi="Arial Narrow" w:cs="Arial"/>
          <w:b/>
          <w:spacing w:val="0"/>
          <w:sz w:val="24"/>
          <w:szCs w:val="24"/>
        </w:rPr>
      </w:pPr>
      <w:r w:rsidRPr="00C82375">
        <w:rPr>
          <w:rFonts w:ascii="Arial Narrow" w:hAnsi="Arial Narrow" w:cs="Arial"/>
          <w:b/>
          <w:spacing w:val="0"/>
          <w:sz w:val="24"/>
          <w:szCs w:val="24"/>
        </w:rPr>
        <w:t xml:space="preserve">Retirement, Social Security, Health Service, Dental </w:t>
      </w:r>
      <w:r w:rsidR="00460B97">
        <w:rPr>
          <w:rFonts w:ascii="Arial Narrow" w:hAnsi="Arial Narrow" w:cs="Arial"/>
          <w:b/>
          <w:spacing w:val="0"/>
          <w:sz w:val="24"/>
          <w:szCs w:val="24"/>
        </w:rPr>
        <w:t>C</w:t>
      </w:r>
      <w:r w:rsidRPr="00C82375">
        <w:rPr>
          <w:rFonts w:ascii="Arial Narrow" w:hAnsi="Arial Narrow" w:cs="Arial"/>
          <w:b/>
          <w:spacing w:val="0"/>
          <w:sz w:val="24"/>
          <w:szCs w:val="24"/>
        </w:rPr>
        <w:t xml:space="preserve">overage, Unemployment Insurance, Other Fringe Benefits </w:t>
      </w:r>
      <w:r w:rsidR="00DE0FA8" w:rsidRPr="00C82375">
        <w:rPr>
          <w:rFonts w:ascii="Arial Narrow" w:hAnsi="Arial Narrow" w:cs="Arial"/>
          <w:b/>
          <w:spacing w:val="0"/>
          <w:sz w:val="24"/>
          <w:szCs w:val="24"/>
        </w:rPr>
        <w:t xml:space="preserve">(Object </w:t>
      </w:r>
      <w:r w:rsidR="00E2567B">
        <w:rPr>
          <w:rFonts w:ascii="Arial Narrow" w:hAnsi="Arial Narrow" w:cs="Arial"/>
          <w:b/>
          <w:spacing w:val="0"/>
          <w:sz w:val="24"/>
          <w:szCs w:val="24"/>
        </w:rPr>
        <w:t>013</w:t>
      </w:r>
      <w:r w:rsidR="00E2567B" w:rsidRPr="00C82375">
        <w:rPr>
          <w:rFonts w:ascii="Arial Narrow" w:hAnsi="Arial Narrow" w:cs="Arial"/>
          <w:b/>
          <w:sz w:val="24"/>
          <w:szCs w:val="24"/>
        </w:rPr>
        <w:t>–</w:t>
      </w:r>
      <w:r w:rsidR="00DE0FA8" w:rsidRPr="00C82375">
        <w:rPr>
          <w:rFonts w:ascii="Arial Narrow" w:hAnsi="Arial Narrow" w:cs="Arial"/>
          <w:b/>
          <w:spacing w:val="0"/>
          <w:sz w:val="24"/>
          <w:szCs w:val="24"/>
        </w:rPr>
        <w:t>01</w:t>
      </w:r>
      <w:r w:rsidRPr="00C82375">
        <w:rPr>
          <w:rFonts w:ascii="Arial Narrow" w:hAnsi="Arial Narrow" w:cs="Arial"/>
          <w:b/>
          <w:spacing w:val="0"/>
          <w:sz w:val="24"/>
          <w:szCs w:val="24"/>
        </w:rPr>
        <w:t>9</w:t>
      </w:r>
      <w:r w:rsidR="00DE0FA8" w:rsidRPr="00C82375">
        <w:rPr>
          <w:rFonts w:ascii="Arial Narrow" w:hAnsi="Arial Narrow" w:cs="Arial"/>
          <w:b/>
          <w:spacing w:val="0"/>
          <w:sz w:val="24"/>
          <w:szCs w:val="24"/>
        </w:rPr>
        <w:t>)</w:t>
      </w:r>
    </w:p>
    <w:p w:rsidR="006B400E" w:rsidRPr="00C82375" w:rsidRDefault="00DE0FA8" w:rsidP="00924ABA">
      <w:pPr>
        <w:rPr>
          <w:rFonts w:ascii="Arial Narrow" w:hAnsi="Arial Narrow" w:cs="Arial"/>
          <w:spacing w:val="0"/>
          <w:sz w:val="24"/>
          <w:szCs w:val="24"/>
        </w:rPr>
      </w:pPr>
      <w:r w:rsidRPr="00C82375">
        <w:rPr>
          <w:rFonts w:ascii="Arial Narrow" w:hAnsi="Arial Narrow" w:cs="Arial"/>
          <w:spacing w:val="0"/>
          <w:sz w:val="24"/>
          <w:szCs w:val="24"/>
        </w:rPr>
        <w:t>The</w:t>
      </w:r>
      <w:r w:rsidR="006B400E" w:rsidRPr="00C82375">
        <w:rPr>
          <w:rFonts w:ascii="Arial Narrow" w:hAnsi="Arial Narrow" w:cs="Arial"/>
          <w:spacing w:val="0"/>
          <w:sz w:val="24"/>
          <w:szCs w:val="24"/>
        </w:rPr>
        <w:t xml:space="preserve">se objects include costs of fringe benefits allocated to permanent employees in positions funded in the Annual Salary Ordinance for FY 2015-16. </w:t>
      </w:r>
    </w:p>
    <w:p w:rsidR="006B400E" w:rsidRPr="00C82375" w:rsidRDefault="006B400E" w:rsidP="00924ABA">
      <w:pPr>
        <w:rPr>
          <w:rFonts w:ascii="Arial Narrow" w:hAnsi="Arial Narrow" w:cs="Arial"/>
          <w:spacing w:val="0"/>
          <w:sz w:val="24"/>
          <w:szCs w:val="24"/>
        </w:rPr>
      </w:pPr>
    </w:p>
    <w:p w:rsidR="00B35E46" w:rsidRPr="00C82375" w:rsidRDefault="006B400E">
      <w:pPr>
        <w:rPr>
          <w:rFonts w:ascii="Arial Narrow" w:hAnsi="Arial Narrow"/>
          <w:sz w:val="24"/>
          <w:szCs w:val="24"/>
        </w:rPr>
      </w:pPr>
      <w:r w:rsidRPr="00C82375">
        <w:rPr>
          <w:rFonts w:ascii="Arial Narrow" w:hAnsi="Arial Narrow" w:cs="Arial"/>
          <w:spacing w:val="0"/>
          <w:sz w:val="24"/>
          <w:szCs w:val="24"/>
        </w:rPr>
        <w:t xml:space="preserve">The costs </w:t>
      </w:r>
      <w:r w:rsidR="00DE0FA8" w:rsidRPr="00C82375">
        <w:rPr>
          <w:rFonts w:ascii="Arial Narrow" w:hAnsi="Arial Narrow" w:cs="Arial"/>
          <w:spacing w:val="0"/>
          <w:sz w:val="24"/>
          <w:szCs w:val="24"/>
        </w:rPr>
        <w:t xml:space="preserve">associated with </w:t>
      </w:r>
      <w:r w:rsidRPr="00C82375">
        <w:rPr>
          <w:rFonts w:ascii="Arial Narrow" w:hAnsi="Arial Narrow" w:cs="Arial"/>
          <w:spacing w:val="0"/>
          <w:sz w:val="24"/>
          <w:szCs w:val="24"/>
        </w:rPr>
        <w:t xml:space="preserve">temporary </w:t>
      </w:r>
      <w:r w:rsidR="00DE0FA8" w:rsidRPr="00C82375">
        <w:rPr>
          <w:rFonts w:ascii="Arial Narrow" w:hAnsi="Arial Narrow" w:cs="Arial"/>
          <w:spacing w:val="0"/>
          <w:sz w:val="24"/>
          <w:szCs w:val="24"/>
        </w:rPr>
        <w:t xml:space="preserve">employees’ health benefits </w:t>
      </w:r>
      <w:r w:rsidR="00B35E46" w:rsidRPr="00C82375">
        <w:rPr>
          <w:rFonts w:ascii="Arial Narrow" w:hAnsi="Arial Narrow" w:cs="Arial"/>
          <w:spacing w:val="0"/>
          <w:sz w:val="24"/>
          <w:szCs w:val="24"/>
        </w:rPr>
        <w:t>resulting from the City’s implementation of the provisions of the</w:t>
      </w:r>
      <w:r w:rsidR="00B35E46" w:rsidRPr="00C82375">
        <w:rPr>
          <w:rFonts w:ascii="Arial Narrow" w:hAnsi="Arial Narrow"/>
          <w:sz w:val="24"/>
          <w:szCs w:val="24"/>
        </w:rPr>
        <w:t xml:space="preserve"> Patient Protection and Affordable Care Act (PPACA) </w:t>
      </w:r>
      <w:r w:rsidR="00DE0FA8" w:rsidRPr="00C82375">
        <w:rPr>
          <w:rFonts w:ascii="Arial Narrow" w:hAnsi="Arial Narrow" w:cs="Arial"/>
          <w:spacing w:val="0"/>
          <w:sz w:val="24"/>
          <w:szCs w:val="24"/>
        </w:rPr>
        <w:t xml:space="preserve">are </w:t>
      </w:r>
      <w:r w:rsidR="00FD15EC">
        <w:rPr>
          <w:rFonts w:ascii="Arial Narrow" w:hAnsi="Arial Narrow" w:cs="Arial"/>
          <w:spacing w:val="0"/>
          <w:sz w:val="24"/>
          <w:szCs w:val="24"/>
        </w:rPr>
        <w:t xml:space="preserve">not </w:t>
      </w:r>
      <w:r w:rsidR="00DE0FA8" w:rsidRPr="00C82375">
        <w:rPr>
          <w:rFonts w:ascii="Arial Narrow" w:hAnsi="Arial Narrow" w:cs="Arial"/>
          <w:spacing w:val="0"/>
          <w:sz w:val="24"/>
          <w:szCs w:val="24"/>
        </w:rPr>
        <w:t xml:space="preserve">yet </w:t>
      </w:r>
      <w:r w:rsidRPr="00C82375">
        <w:rPr>
          <w:rFonts w:ascii="Arial Narrow" w:hAnsi="Arial Narrow" w:cs="Arial"/>
          <w:spacing w:val="0"/>
          <w:sz w:val="24"/>
          <w:szCs w:val="24"/>
        </w:rPr>
        <w:t>included in the Health Service projections</w:t>
      </w:r>
      <w:r w:rsidR="00460B97">
        <w:rPr>
          <w:rFonts w:ascii="Arial Narrow" w:hAnsi="Arial Narrow" w:cs="Arial"/>
          <w:spacing w:val="0"/>
          <w:sz w:val="24"/>
          <w:szCs w:val="24"/>
        </w:rPr>
        <w:t xml:space="preserve"> </w:t>
      </w:r>
      <w:r w:rsidR="00460B97" w:rsidRPr="00C82375">
        <w:rPr>
          <w:rFonts w:ascii="Arial Narrow" w:hAnsi="Arial Narrow" w:cs="Arial"/>
          <w:spacing w:val="0"/>
          <w:sz w:val="24"/>
          <w:szCs w:val="24"/>
        </w:rPr>
        <w:t>(Object 015)</w:t>
      </w:r>
      <w:r w:rsidRPr="00C82375">
        <w:rPr>
          <w:rFonts w:ascii="Arial Narrow" w:hAnsi="Arial Narrow" w:cs="Arial"/>
          <w:spacing w:val="0"/>
          <w:sz w:val="24"/>
          <w:szCs w:val="24"/>
        </w:rPr>
        <w:t>.</w:t>
      </w:r>
      <w:r w:rsidR="00494AAA" w:rsidRPr="00C82375">
        <w:rPr>
          <w:rStyle w:val="FootnoteReference"/>
          <w:rFonts w:ascii="Arial Narrow" w:hAnsi="Arial Narrow"/>
          <w:sz w:val="24"/>
          <w:szCs w:val="24"/>
        </w:rPr>
        <w:footnoteReference w:id="2"/>
      </w:r>
      <w:r w:rsidRPr="00C82375">
        <w:rPr>
          <w:rFonts w:ascii="Arial Narrow" w:hAnsi="Arial Narrow" w:cs="Arial"/>
          <w:spacing w:val="0"/>
          <w:sz w:val="24"/>
          <w:szCs w:val="24"/>
        </w:rPr>
        <w:t xml:space="preserve"> </w:t>
      </w:r>
      <w:r w:rsidR="00B35E46" w:rsidRPr="00C82375">
        <w:rPr>
          <w:rFonts w:ascii="Arial Narrow" w:hAnsi="Arial Narrow"/>
          <w:sz w:val="24"/>
          <w:szCs w:val="24"/>
        </w:rPr>
        <w:t xml:space="preserve">The Department estimates that approximately 75 temporary employees hired for any election cycle would receive </w:t>
      </w:r>
      <w:r w:rsidR="00460B97">
        <w:rPr>
          <w:rFonts w:ascii="Arial Narrow" w:hAnsi="Arial Narrow"/>
          <w:sz w:val="24"/>
          <w:szCs w:val="24"/>
        </w:rPr>
        <w:t xml:space="preserve">this </w:t>
      </w:r>
      <w:r w:rsidR="00B35E46" w:rsidRPr="00C82375">
        <w:rPr>
          <w:rFonts w:ascii="Arial Narrow" w:hAnsi="Arial Narrow"/>
          <w:sz w:val="24"/>
          <w:szCs w:val="24"/>
        </w:rPr>
        <w:t xml:space="preserve">benefit coverage immediately upon appointment. </w:t>
      </w:r>
      <w:r w:rsidR="00E45F20">
        <w:rPr>
          <w:rFonts w:ascii="Arial Narrow" w:hAnsi="Arial Narrow" w:cs="Arial"/>
          <w:spacing w:val="0"/>
          <w:sz w:val="24"/>
          <w:szCs w:val="24"/>
        </w:rPr>
        <w:t>T</w:t>
      </w:r>
      <w:r w:rsidR="00B35E46" w:rsidRPr="00C82375">
        <w:rPr>
          <w:rFonts w:ascii="Arial Narrow" w:hAnsi="Arial Narrow" w:cs="Arial"/>
          <w:spacing w:val="0"/>
          <w:sz w:val="24"/>
          <w:szCs w:val="24"/>
        </w:rPr>
        <w:t xml:space="preserve">he Department </w:t>
      </w:r>
      <w:r w:rsidR="00B35E46" w:rsidRPr="00C82375">
        <w:rPr>
          <w:rFonts w:ascii="Arial Narrow" w:hAnsi="Arial Narrow"/>
          <w:sz w:val="24"/>
          <w:szCs w:val="24"/>
        </w:rPr>
        <w:t>is awaiting further guidance on this matter from the Department of Human Resources and the Mayor’s Budget Office.    </w:t>
      </w:r>
    </w:p>
    <w:p w:rsidR="00F05F28" w:rsidRPr="00C82375" w:rsidRDefault="00F05F28" w:rsidP="00774578">
      <w:pPr>
        <w:ind w:left="720"/>
        <w:rPr>
          <w:rFonts w:ascii="Arial Narrow" w:hAnsi="Arial Narrow" w:cs="Arial"/>
          <w:b/>
          <w:spacing w:val="0"/>
          <w:sz w:val="24"/>
          <w:szCs w:val="24"/>
        </w:rPr>
      </w:pPr>
    </w:p>
    <w:p w:rsidR="00924ABA" w:rsidRPr="00C82375" w:rsidRDefault="00924ABA" w:rsidP="00774578">
      <w:pPr>
        <w:ind w:left="720"/>
        <w:rPr>
          <w:rFonts w:ascii="Arial Narrow" w:hAnsi="Arial Narrow" w:cs="Arial"/>
          <w:b/>
          <w:spacing w:val="0"/>
          <w:sz w:val="24"/>
          <w:szCs w:val="24"/>
        </w:rPr>
      </w:pPr>
      <w:r w:rsidRPr="00C82375">
        <w:rPr>
          <w:rFonts w:ascii="Arial Narrow" w:hAnsi="Arial Narrow" w:cs="Arial"/>
          <w:b/>
          <w:spacing w:val="0"/>
          <w:sz w:val="24"/>
          <w:szCs w:val="24"/>
        </w:rPr>
        <w:t xml:space="preserve">Travel, Training, Employee Expenses and Fees </w:t>
      </w:r>
      <w:r w:rsidR="00E2567B" w:rsidRPr="00D722B4">
        <w:rPr>
          <w:rFonts w:ascii="Arial Narrow" w:hAnsi="Arial Narrow"/>
          <w:b/>
          <w:sz w:val="24"/>
          <w:szCs w:val="24"/>
        </w:rPr>
        <w:t>–</w:t>
      </w:r>
      <w:r w:rsidRPr="00C82375">
        <w:rPr>
          <w:rFonts w:ascii="Arial Narrow" w:hAnsi="Arial Narrow" w:cs="Arial"/>
          <w:b/>
          <w:spacing w:val="0"/>
          <w:sz w:val="24"/>
          <w:szCs w:val="24"/>
        </w:rPr>
        <w:t xml:space="preserve"> (Objects 021</w:t>
      </w:r>
      <w:r w:rsidR="00E2567B" w:rsidRPr="00C82375">
        <w:rPr>
          <w:rFonts w:ascii="Arial Narrow" w:hAnsi="Arial Narrow" w:cs="Arial"/>
          <w:b/>
          <w:sz w:val="24"/>
          <w:szCs w:val="24"/>
        </w:rPr>
        <w:t>–</w:t>
      </w:r>
      <w:r w:rsidRPr="00C82375">
        <w:rPr>
          <w:rFonts w:ascii="Arial Narrow" w:hAnsi="Arial Narrow" w:cs="Arial"/>
          <w:b/>
          <w:spacing w:val="0"/>
          <w:sz w:val="24"/>
          <w:szCs w:val="24"/>
        </w:rPr>
        <w:t xml:space="preserve">026) </w:t>
      </w:r>
    </w:p>
    <w:p w:rsidR="00924ABA" w:rsidRDefault="00924ABA" w:rsidP="00924ABA">
      <w:pPr>
        <w:rPr>
          <w:rFonts w:ascii="Arial Narrow" w:hAnsi="Arial Narrow"/>
          <w:sz w:val="24"/>
          <w:szCs w:val="24"/>
        </w:rPr>
      </w:pPr>
      <w:r w:rsidRPr="00C82375">
        <w:rPr>
          <w:rFonts w:ascii="Arial Narrow" w:hAnsi="Arial Narrow" w:cs="Arial"/>
          <w:spacing w:val="0"/>
          <w:sz w:val="24"/>
          <w:szCs w:val="24"/>
        </w:rPr>
        <w:t xml:space="preserve">The Department’s projections </w:t>
      </w:r>
      <w:r w:rsidR="00C8546C" w:rsidRPr="00C82375">
        <w:rPr>
          <w:rFonts w:ascii="Arial Narrow" w:hAnsi="Arial Narrow" w:cs="Arial"/>
          <w:spacing w:val="0"/>
          <w:sz w:val="24"/>
          <w:szCs w:val="24"/>
        </w:rPr>
        <w:t xml:space="preserve">in these objects </w:t>
      </w:r>
      <w:r w:rsidRPr="00C82375">
        <w:rPr>
          <w:rFonts w:ascii="Arial Narrow" w:hAnsi="Arial Narrow" w:cs="Arial"/>
          <w:spacing w:val="0"/>
          <w:sz w:val="24"/>
          <w:szCs w:val="24"/>
        </w:rPr>
        <w:t xml:space="preserve">include </w:t>
      </w:r>
      <w:r w:rsidR="00C8546C" w:rsidRPr="00C82375">
        <w:rPr>
          <w:rFonts w:ascii="Arial Narrow" w:hAnsi="Arial Narrow" w:cs="Arial"/>
          <w:spacing w:val="0"/>
          <w:sz w:val="24"/>
          <w:szCs w:val="24"/>
        </w:rPr>
        <w:t xml:space="preserve">costs </w:t>
      </w:r>
      <w:r w:rsidRPr="00C82375">
        <w:rPr>
          <w:rFonts w:ascii="Arial Narrow" w:hAnsi="Arial Narrow"/>
          <w:sz w:val="24"/>
          <w:szCs w:val="24"/>
        </w:rPr>
        <w:t xml:space="preserve">associated with </w:t>
      </w:r>
      <w:r w:rsidR="00C8546C" w:rsidRPr="00C82375">
        <w:rPr>
          <w:rFonts w:ascii="Arial Narrow" w:hAnsi="Arial Narrow"/>
          <w:sz w:val="24"/>
          <w:szCs w:val="24"/>
        </w:rPr>
        <w:t xml:space="preserve">staff attendance of </w:t>
      </w:r>
      <w:r w:rsidR="00795B62" w:rsidRPr="00C82375">
        <w:rPr>
          <w:rFonts w:ascii="Arial Narrow" w:hAnsi="Arial Narrow"/>
          <w:sz w:val="24"/>
          <w:szCs w:val="24"/>
        </w:rPr>
        <w:t>workshops</w:t>
      </w:r>
      <w:r w:rsidR="00C8546C" w:rsidRPr="00C82375">
        <w:rPr>
          <w:rFonts w:ascii="Arial Narrow" w:hAnsi="Arial Narrow"/>
          <w:sz w:val="24"/>
          <w:szCs w:val="24"/>
        </w:rPr>
        <w:t xml:space="preserve"> </w:t>
      </w:r>
      <w:r w:rsidR="00795B62" w:rsidRPr="00C82375">
        <w:rPr>
          <w:rFonts w:ascii="Arial Narrow" w:hAnsi="Arial Narrow"/>
          <w:sz w:val="24"/>
          <w:szCs w:val="24"/>
        </w:rPr>
        <w:t xml:space="preserve">and </w:t>
      </w:r>
      <w:r w:rsidR="00C8546C" w:rsidRPr="00C82375">
        <w:rPr>
          <w:rFonts w:ascii="Arial Narrow" w:hAnsi="Arial Narrow"/>
          <w:sz w:val="24"/>
          <w:szCs w:val="24"/>
        </w:rPr>
        <w:t xml:space="preserve">seminars </w:t>
      </w:r>
      <w:r w:rsidRPr="00C82375">
        <w:rPr>
          <w:rFonts w:ascii="Arial Narrow" w:hAnsi="Arial Narrow"/>
          <w:sz w:val="24"/>
          <w:szCs w:val="24"/>
        </w:rPr>
        <w:t>for education</w:t>
      </w:r>
      <w:r w:rsidR="00C8546C" w:rsidRPr="00C82375">
        <w:rPr>
          <w:rFonts w:ascii="Arial Narrow" w:hAnsi="Arial Narrow"/>
          <w:sz w:val="24"/>
          <w:szCs w:val="24"/>
        </w:rPr>
        <w:t>-</w:t>
      </w:r>
      <w:r w:rsidRPr="00C82375">
        <w:rPr>
          <w:rFonts w:ascii="Arial Narrow" w:hAnsi="Arial Narrow"/>
          <w:sz w:val="24"/>
          <w:szCs w:val="24"/>
        </w:rPr>
        <w:t xml:space="preserve">related </w:t>
      </w:r>
      <w:r w:rsidR="00C8546C" w:rsidRPr="00C82375">
        <w:rPr>
          <w:rFonts w:ascii="Arial Narrow" w:hAnsi="Arial Narrow"/>
          <w:sz w:val="24"/>
          <w:szCs w:val="24"/>
        </w:rPr>
        <w:t xml:space="preserve">purposes; </w:t>
      </w:r>
      <w:r w:rsidRPr="00C82375">
        <w:rPr>
          <w:rFonts w:ascii="Arial Narrow" w:hAnsi="Arial Narrow"/>
          <w:sz w:val="24"/>
          <w:szCs w:val="24"/>
        </w:rPr>
        <w:t>staff reimbursement for field expenses; membership in the California Association of Clerks and Election Officials (CACEO</w:t>
      </w:r>
      <w:r w:rsidR="00E45F20">
        <w:rPr>
          <w:rFonts w:ascii="Arial Narrow" w:hAnsi="Arial Narrow"/>
          <w:sz w:val="24"/>
          <w:szCs w:val="24"/>
        </w:rPr>
        <w:t>)</w:t>
      </w:r>
      <w:r w:rsidR="00C8546C" w:rsidRPr="00C82375">
        <w:rPr>
          <w:rFonts w:ascii="Arial Narrow" w:hAnsi="Arial Narrow"/>
          <w:sz w:val="24"/>
          <w:szCs w:val="24"/>
        </w:rPr>
        <w:t xml:space="preserve">; </w:t>
      </w:r>
      <w:r w:rsidRPr="00C82375">
        <w:rPr>
          <w:rFonts w:ascii="Arial Narrow" w:hAnsi="Arial Narrow"/>
          <w:sz w:val="24"/>
          <w:szCs w:val="24"/>
        </w:rPr>
        <w:t xml:space="preserve">and fees for </w:t>
      </w:r>
      <w:proofErr w:type="spellStart"/>
      <w:r w:rsidRPr="00C82375">
        <w:rPr>
          <w:rFonts w:ascii="Arial Narrow" w:hAnsi="Arial Narrow"/>
          <w:sz w:val="24"/>
          <w:szCs w:val="24"/>
        </w:rPr>
        <w:t>LanguageLine</w:t>
      </w:r>
      <w:proofErr w:type="spellEnd"/>
      <w:r w:rsidRPr="00C82375">
        <w:rPr>
          <w:rFonts w:ascii="Arial Narrow" w:hAnsi="Arial Narrow"/>
          <w:sz w:val="24"/>
          <w:szCs w:val="24"/>
        </w:rPr>
        <w:t xml:space="preserve"> Solutions, which allows year-round access to over-the-phone interpr</w:t>
      </w:r>
      <w:r w:rsidR="00E26980" w:rsidRPr="00C82375">
        <w:rPr>
          <w:rFonts w:ascii="Arial Narrow" w:hAnsi="Arial Narrow"/>
          <w:sz w:val="24"/>
          <w:szCs w:val="24"/>
        </w:rPr>
        <w:t>etation of over 200 languages</w:t>
      </w:r>
      <w:r w:rsidR="00E45F20">
        <w:rPr>
          <w:rFonts w:ascii="Arial Narrow" w:hAnsi="Arial Narrow"/>
          <w:sz w:val="24"/>
          <w:szCs w:val="24"/>
        </w:rPr>
        <w:t>, to assist voters</w:t>
      </w:r>
      <w:r w:rsidR="00E26980" w:rsidRPr="00C82375">
        <w:rPr>
          <w:rFonts w:ascii="Arial Narrow" w:hAnsi="Arial Narrow"/>
          <w:sz w:val="24"/>
          <w:szCs w:val="24"/>
        </w:rPr>
        <w:t xml:space="preserve">. </w:t>
      </w:r>
      <w:r w:rsidRPr="00C82375">
        <w:rPr>
          <w:rFonts w:ascii="Arial Narrow" w:hAnsi="Arial Narrow"/>
          <w:sz w:val="24"/>
          <w:szCs w:val="24"/>
        </w:rPr>
        <w:t xml:space="preserve">The projections also include permit fees for portable toilets at polling places and for parking during the week leading up </w:t>
      </w:r>
      <w:r w:rsidR="00E45F20">
        <w:rPr>
          <w:rFonts w:ascii="Arial Narrow" w:hAnsi="Arial Narrow"/>
          <w:sz w:val="24"/>
          <w:szCs w:val="24"/>
        </w:rPr>
        <w:t>and including</w:t>
      </w:r>
      <w:r w:rsidRPr="00C82375">
        <w:rPr>
          <w:rFonts w:ascii="Arial Narrow" w:hAnsi="Arial Narrow"/>
          <w:sz w:val="24"/>
          <w:szCs w:val="24"/>
        </w:rPr>
        <w:t xml:space="preserve"> Election Day. </w:t>
      </w:r>
    </w:p>
    <w:p w:rsidR="00132842" w:rsidRPr="00C82375" w:rsidRDefault="00132842" w:rsidP="00924ABA">
      <w:pPr>
        <w:rPr>
          <w:rFonts w:ascii="Arial Narrow" w:hAnsi="Arial Narrow"/>
          <w:sz w:val="24"/>
          <w:szCs w:val="24"/>
        </w:rPr>
      </w:pPr>
    </w:p>
    <w:p w:rsidR="00924ABA" w:rsidRPr="00C82375" w:rsidRDefault="00924ABA" w:rsidP="00774578">
      <w:pPr>
        <w:ind w:left="720"/>
        <w:rPr>
          <w:rFonts w:ascii="Arial Narrow" w:hAnsi="Arial Narrow"/>
          <w:b/>
          <w:sz w:val="24"/>
          <w:szCs w:val="24"/>
        </w:rPr>
      </w:pPr>
      <w:r w:rsidRPr="00C82375">
        <w:rPr>
          <w:rFonts w:ascii="Arial Narrow" w:hAnsi="Arial Narrow"/>
          <w:b/>
          <w:sz w:val="24"/>
          <w:szCs w:val="24"/>
        </w:rPr>
        <w:t xml:space="preserve">Professional and Specialized Services </w:t>
      </w:r>
      <w:r w:rsidR="00E2567B" w:rsidRPr="00D722B4">
        <w:rPr>
          <w:rFonts w:ascii="Arial Narrow" w:hAnsi="Arial Narrow"/>
          <w:b/>
          <w:sz w:val="24"/>
          <w:szCs w:val="24"/>
        </w:rPr>
        <w:t>–</w:t>
      </w:r>
      <w:r w:rsidRPr="00C82375">
        <w:rPr>
          <w:rFonts w:ascii="Arial Narrow" w:hAnsi="Arial Narrow"/>
          <w:b/>
          <w:sz w:val="24"/>
          <w:szCs w:val="24"/>
        </w:rPr>
        <w:t xml:space="preserve"> (Object 027)</w:t>
      </w:r>
    </w:p>
    <w:p w:rsidR="00924ABA" w:rsidRPr="00C82375" w:rsidRDefault="00924ABA" w:rsidP="00924ABA">
      <w:pPr>
        <w:pStyle w:val="NoSpacing"/>
        <w:rPr>
          <w:rFonts w:ascii="Arial Narrow" w:hAnsi="Arial Narrow" w:cs="Arial"/>
        </w:rPr>
      </w:pPr>
      <w:r w:rsidRPr="00C82375">
        <w:rPr>
          <w:rFonts w:ascii="Arial Narrow" w:hAnsi="Arial Narrow" w:cs="Arial"/>
        </w:rPr>
        <w:t xml:space="preserve">The Department’s projections </w:t>
      </w:r>
      <w:r w:rsidR="00C8546C" w:rsidRPr="00C82375">
        <w:rPr>
          <w:rFonts w:ascii="Arial Narrow" w:hAnsi="Arial Narrow" w:cs="Arial"/>
        </w:rPr>
        <w:t xml:space="preserve">in this object </w:t>
      </w:r>
      <w:r w:rsidRPr="00C82375">
        <w:rPr>
          <w:rFonts w:ascii="Arial Narrow" w:hAnsi="Arial Narrow" w:cs="Arial"/>
        </w:rPr>
        <w:t>include fees for annual maintenance</w:t>
      </w:r>
      <w:r w:rsidR="00E26980" w:rsidRPr="00C82375">
        <w:rPr>
          <w:rFonts w:ascii="Arial Narrow" w:hAnsi="Arial Narrow" w:cs="Arial"/>
        </w:rPr>
        <w:t>, licenses,</w:t>
      </w:r>
      <w:r w:rsidRPr="00C82375">
        <w:rPr>
          <w:rFonts w:ascii="Arial Narrow" w:hAnsi="Arial Narrow" w:cs="Arial"/>
        </w:rPr>
        <w:t xml:space="preserve"> and </w:t>
      </w:r>
      <w:r w:rsidR="00C8546C" w:rsidRPr="00C82375">
        <w:rPr>
          <w:rFonts w:ascii="Arial Narrow" w:hAnsi="Arial Narrow" w:cs="Arial"/>
        </w:rPr>
        <w:t>election-</w:t>
      </w:r>
      <w:r w:rsidR="00E26980" w:rsidRPr="00C82375">
        <w:rPr>
          <w:rFonts w:ascii="Arial Narrow" w:hAnsi="Arial Narrow" w:cs="Arial"/>
        </w:rPr>
        <w:t xml:space="preserve">related services and support for </w:t>
      </w:r>
      <w:r w:rsidRPr="00C82375">
        <w:rPr>
          <w:rFonts w:ascii="Arial Narrow" w:hAnsi="Arial Narrow" w:cs="Arial"/>
        </w:rPr>
        <w:t xml:space="preserve">the Election Information Management System (EIMS) database, the City’s voting system, and the </w:t>
      </w:r>
      <w:proofErr w:type="spellStart"/>
      <w:r w:rsidRPr="00C82375">
        <w:rPr>
          <w:rFonts w:ascii="Arial Narrow" w:hAnsi="Arial Narrow" w:cs="Arial"/>
        </w:rPr>
        <w:t>Agilis</w:t>
      </w:r>
      <w:proofErr w:type="spellEnd"/>
      <w:r w:rsidRPr="00C82375">
        <w:rPr>
          <w:rFonts w:ascii="Arial Narrow" w:hAnsi="Arial Narrow" w:cs="Arial"/>
        </w:rPr>
        <w:t xml:space="preserve"> ballot sorting system</w:t>
      </w:r>
      <w:r w:rsidR="00E26980" w:rsidRPr="00C82375">
        <w:rPr>
          <w:rFonts w:ascii="Arial Narrow" w:hAnsi="Arial Narrow" w:cs="Arial"/>
        </w:rPr>
        <w:t>.</w:t>
      </w:r>
    </w:p>
    <w:p w:rsidR="00C8546C" w:rsidRPr="00C82375" w:rsidRDefault="00C8546C" w:rsidP="00924ABA">
      <w:pPr>
        <w:pStyle w:val="NoSpacing"/>
        <w:rPr>
          <w:rFonts w:ascii="Arial Narrow" w:hAnsi="Arial Narrow" w:cs="Arial"/>
        </w:rPr>
      </w:pPr>
    </w:p>
    <w:p w:rsidR="00924ABA" w:rsidRPr="00C82375" w:rsidRDefault="00924ABA" w:rsidP="00924ABA">
      <w:pPr>
        <w:pStyle w:val="NoSpacing"/>
        <w:rPr>
          <w:rFonts w:ascii="Arial Narrow" w:hAnsi="Arial Narrow"/>
          <w:b/>
        </w:rPr>
      </w:pPr>
      <w:r w:rsidRPr="00C82375">
        <w:rPr>
          <w:rFonts w:ascii="Arial Narrow" w:hAnsi="Arial Narrow" w:cs="Arial"/>
        </w:rPr>
        <w:t>The projections also include fees associated with services required to facilitate voting for approximately 450,000 San Francisco registrants in each election</w:t>
      </w:r>
      <w:r w:rsidR="00494AAA" w:rsidRPr="00C82375">
        <w:rPr>
          <w:rFonts w:ascii="Arial Narrow" w:hAnsi="Arial Narrow" w:cs="Arial"/>
        </w:rPr>
        <w:t xml:space="preserve">, such as </w:t>
      </w:r>
      <w:r w:rsidRPr="00C82375">
        <w:rPr>
          <w:rFonts w:ascii="Arial Narrow" w:hAnsi="Arial Narrow" w:cs="Arial"/>
        </w:rPr>
        <w:t xml:space="preserve">assembly and mailing of over 240,000 vote-by-mail packets </w:t>
      </w:r>
      <w:r w:rsidR="00BA4F2D">
        <w:rPr>
          <w:rFonts w:ascii="Arial Narrow" w:hAnsi="Arial Narrow" w:cs="Arial"/>
        </w:rPr>
        <w:t xml:space="preserve">under Prop J </w:t>
      </w:r>
      <w:r w:rsidRPr="00C82375">
        <w:rPr>
          <w:rStyle w:val="FootnoteReference"/>
          <w:rFonts w:ascii="Arial Narrow" w:hAnsi="Arial Narrow" w:cs="Arial"/>
        </w:rPr>
        <w:footnoteReference w:id="3"/>
      </w:r>
      <w:r w:rsidRPr="00C82375">
        <w:rPr>
          <w:rFonts w:ascii="Arial Narrow" w:hAnsi="Arial Narrow" w:cs="Arial"/>
        </w:rPr>
        <w:t xml:space="preserve">; typesetting and translation of the Voter Information Pamphlet (VIP) and Sample Ballot, produced in four languages; production of the VIP in alternative formats (large-print and audio); translation, transliteration, and review related to production of the </w:t>
      </w:r>
      <w:r w:rsidR="00BA4F2D">
        <w:rPr>
          <w:rFonts w:ascii="Arial Narrow" w:hAnsi="Arial Narrow" w:cs="Arial"/>
        </w:rPr>
        <w:t>O</w:t>
      </w:r>
      <w:r w:rsidRPr="00C82375">
        <w:rPr>
          <w:rFonts w:ascii="Arial Narrow" w:hAnsi="Arial Narrow" w:cs="Arial"/>
        </w:rPr>
        <w:t xml:space="preserve">fficial Ballot in four languages; translation and production of facsimile ballots in three </w:t>
      </w:r>
      <w:r w:rsidR="0035088D">
        <w:rPr>
          <w:rFonts w:ascii="Arial Narrow" w:hAnsi="Arial Narrow" w:cs="Arial"/>
        </w:rPr>
        <w:t xml:space="preserve">additional </w:t>
      </w:r>
      <w:r w:rsidRPr="00C82375">
        <w:rPr>
          <w:rFonts w:ascii="Arial Narrow" w:hAnsi="Arial Narrow" w:cs="Arial"/>
        </w:rPr>
        <w:t xml:space="preserve">languages; assembly and mailing of </w:t>
      </w:r>
      <w:r w:rsidRPr="00C82375">
        <w:rPr>
          <w:rFonts w:ascii="Arial Narrow" w:hAnsi="Arial Narrow" w:cs="Arial"/>
        </w:rPr>
        <w:lastRenderedPageBreak/>
        <w:t xml:space="preserve">approximately </w:t>
      </w:r>
      <w:r w:rsidR="0035088D">
        <w:rPr>
          <w:rFonts w:ascii="Arial Narrow" w:hAnsi="Arial Narrow" w:cs="Arial"/>
        </w:rPr>
        <w:t>440,000</w:t>
      </w:r>
      <w:r w:rsidRPr="00C82375">
        <w:rPr>
          <w:rFonts w:ascii="Arial Narrow" w:hAnsi="Arial Narrow" w:cs="Arial"/>
        </w:rPr>
        <w:t xml:space="preserve"> copies of the VIP; stipends for over 2,500 poll workers who administer voting at the polls; and staffing agency fees for personnel who assist with the receipt of ballots at the Processing Center on </w:t>
      </w:r>
      <w:r w:rsidR="0035088D">
        <w:rPr>
          <w:rFonts w:ascii="Arial Narrow" w:hAnsi="Arial Narrow" w:cs="Arial"/>
        </w:rPr>
        <w:t>e</w:t>
      </w:r>
      <w:r w:rsidRPr="00C82375">
        <w:rPr>
          <w:rFonts w:ascii="Arial Narrow" w:hAnsi="Arial Narrow" w:cs="Arial"/>
        </w:rPr>
        <w:t>lection night.</w:t>
      </w:r>
    </w:p>
    <w:p w:rsidR="00924ABA" w:rsidRPr="00C82375" w:rsidRDefault="00924ABA" w:rsidP="00924ABA">
      <w:pPr>
        <w:rPr>
          <w:rFonts w:ascii="Arial Narrow" w:hAnsi="Arial Narrow" w:cs="Arial"/>
          <w:b/>
          <w:spacing w:val="0"/>
          <w:sz w:val="24"/>
          <w:szCs w:val="24"/>
        </w:rPr>
      </w:pPr>
    </w:p>
    <w:p w:rsidR="00924ABA" w:rsidRPr="00C82375" w:rsidRDefault="00924ABA" w:rsidP="00774578">
      <w:pPr>
        <w:ind w:left="720"/>
        <w:rPr>
          <w:rFonts w:ascii="Arial Narrow" w:hAnsi="Arial Narrow"/>
          <w:b/>
          <w:sz w:val="24"/>
          <w:szCs w:val="24"/>
        </w:rPr>
      </w:pPr>
      <w:r w:rsidRPr="00C82375">
        <w:rPr>
          <w:rFonts w:ascii="Arial Narrow" w:hAnsi="Arial Narrow"/>
          <w:b/>
          <w:sz w:val="24"/>
          <w:szCs w:val="24"/>
        </w:rPr>
        <w:t xml:space="preserve">Maintenance Services – Buildings and Structures; Equipment </w:t>
      </w:r>
      <w:r w:rsidR="00E2567B" w:rsidRPr="00D722B4">
        <w:rPr>
          <w:rFonts w:ascii="Arial Narrow" w:hAnsi="Arial Narrow"/>
          <w:b/>
          <w:sz w:val="24"/>
          <w:szCs w:val="24"/>
        </w:rPr>
        <w:t>–</w:t>
      </w:r>
      <w:r w:rsidRPr="00C82375">
        <w:rPr>
          <w:rFonts w:ascii="Arial Narrow" w:hAnsi="Arial Narrow"/>
          <w:b/>
          <w:sz w:val="24"/>
          <w:szCs w:val="24"/>
        </w:rPr>
        <w:t xml:space="preserve"> (Object 028</w:t>
      </w:r>
      <w:r w:rsidR="00E2567B" w:rsidRPr="00C82375">
        <w:rPr>
          <w:rFonts w:ascii="Arial Narrow" w:hAnsi="Arial Narrow" w:cs="Arial"/>
          <w:b/>
          <w:sz w:val="24"/>
          <w:szCs w:val="24"/>
        </w:rPr>
        <w:t>–</w:t>
      </w:r>
      <w:r w:rsidRPr="00C82375">
        <w:rPr>
          <w:rFonts w:ascii="Arial Narrow" w:hAnsi="Arial Narrow"/>
          <w:b/>
          <w:sz w:val="24"/>
          <w:szCs w:val="24"/>
        </w:rPr>
        <w:t xml:space="preserve">029) </w:t>
      </w:r>
    </w:p>
    <w:p w:rsidR="00924ABA" w:rsidRPr="00C82375" w:rsidRDefault="00924ABA" w:rsidP="00924ABA">
      <w:pPr>
        <w:rPr>
          <w:rFonts w:ascii="Arial Narrow" w:hAnsi="Arial Narrow"/>
          <w:color w:val="000000"/>
          <w:sz w:val="24"/>
          <w:szCs w:val="24"/>
        </w:rPr>
      </w:pPr>
      <w:r w:rsidRPr="00C82375">
        <w:rPr>
          <w:rFonts w:ascii="Arial Narrow" w:hAnsi="Arial Narrow" w:cs="Arial"/>
          <w:sz w:val="24"/>
          <w:szCs w:val="24"/>
        </w:rPr>
        <w:t xml:space="preserve">The Department’s projections </w:t>
      </w:r>
      <w:r w:rsidR="00494AAA" w:rsidRPr="00C82375">
        <w:rPr>
          <w:rFonts w:ascii="Arial Narrow" w:hAnsi="Arial Narrow" w:cs="Arial"/>
          <w:sz w:val="24"/>
          <w:szCs w:val="24"/>
        </w:rPr>
        <w:t xml:space="preserve">in these objects </w:t>
      </w:r>
      <w:r w:rsidRPr="00C82375">
        <w:rPr>
          <w:rFonts w:ascii="Arial Narrow" w:hAnsi="Arial Narrow" w:cs="Arial"/>
          <w:sz w:val="24"/>
          <w:szCs w:val="24"/>
        </w:rPr>
        <w:t>include</w:t>
      </w:r>
      <w:r w:rsidR="00494AAA" w:rsidRPr="00C82375">
        <w:rPr>
          <w:rFonts w:ascii="Arial Narrow" w:hAnsi="Arial Narrow" w:cs="Arial"/>
          <w:sz w:val="24"/>
          <w:szCs w:val="24"/>
        </w:rPr>
        <w:t xml:space="preserve"> expenses </w:t>
      </w:r>
      <w:r w:rsidRPr="00C82375">
        <w:rPr>
          <w:rFonts w:ascii="Arial Narrow" w:hAnsi="Arial Narrow" w:cs="Arial"/>
          <w:sz w:val="24"/>
          <w:szCs w:val="24"/>
        </w:rPr>
        <w:t xml:space="preserve">associated with the </w:t>
      </w:r>
      <w:r w:rsidR="0035088D">
        <w:rPr>
          <w:rFonts w:ascii="Arial Narrow" w:hAnsi="Arial Narrow" w:cs="Arial"/>
          <w:sz w:val="24"/>
          <w:szCs w:val="24"/>
        </w:rPr>
        <w:t xml:space="preserve">shredding and </w:t>
      </w:r>
      <w:r w:rsidRPr="00C82375">
        <w:rPr>
          <w:rFonts w:ascii="Arial Narrow" w:hAnsi="Arial Narrow"/>
          <w:sz w:val="24"/>
          <w:szCs w:val="24"/>
        </w:rPr>
        <w:t xml:space="preserve">recycling of ballots and other election-related materials as required by state law, monthly trash disposal at the Department’s warehouse, and </w:t>
      </w:r>
      <w:r w:rsidRPr="00C82375">
        <w:rPr>
          <w:rFonts w:ascii="Arial Narrow" w:hAnsi="Arial Narrow"/>
          <w:color w:val="000000"/>
          <w:sz w:val="24"/>
          <w:szCs w:val="24"/>
        </w:rPr>
        <w:t xml:space="preserve">annual inspection of fire extinguishers. </w:t>
      </w:r>
    </w:p>
    <w:p w:rsidR="00924ABA" w:rsidRPr="00C82375" w:rsidRDefault="00924ABA" w:rsidP="00924ABA">
      <w:pPr>
        <w:outlineLvl w:val="0"/>
        <w:rPr>
          <w:rFonts w:ascii="Arial Narrow" w:hAnsi="Arial Narrow"/>
          <w:color w:val="000000"/>
          <w:sz w:val="24"/>
          <w:szCs w:val="24"/>
        </w:rPr>
      </w:pPr>
    </w:p>
    <w:p w:rsidR="00924ABA" w:rsidRPr="00C82375" w:rsidRDefault="00924ABA" w:rsidP="00774578">
      <w:pPr>
        <w:ind w:left="720"/>
        <w:rPr>
          <w:rFonts w:ascii="Arial Narrow" w:hAnsi="Arial Narrow"/>
          <w:b/>
          <w:sz w:val="24"/>
          <w:szCs w:val="24"/>
        </w:rPr>
      </w:pPr>
      <w:r w:rsidRPr="00C82375">
        <w:rPr>
          <w:rFonts w:ascii="Arial Narrow" w:hAnsi="Arial Narrow"/>
          <w:b/>
          <w:sz w:val="24"/>
          <w:szCs w:val="24"/>
        </w:rPr>
        <w:t>Rents and Leases – Buildings and Structures</w:t>
      </w:r>
      <w:r w:rsidR="00E2567B">
        <w:rPr>
          <w:rFonts w:ascii="Arial Narrow" w:hAnsi="Arial Narrow"/>
          <w:b/>
          <w:sz w:val="24"/>
          <w:szCs w:val="24"/>
        </w:rPr>
        <w:t xml:space="preserve"> </w:t>
      </w:r>
      <w:r w:rsidR="00E2567B" w:rsidRPr="00D722B4">
        <w:rPr>
          <w:rFonts w:ascii="Arial Narrow" w:hAnsi="Arial Narrow"/>
          <w:b/>
          <w:sz w:val="24"/>
          <w:szCs w:val="24"/>
        </w:rPr>
        <w:t>–</w:t>
      </w:r>
      <w:r w:rsidR="00E2567B" w:rsidRPr="00C82375">
        <w:rPr>
          <w:rFonts w:ascii="Arial Narrow" w:hAnsi="Arial Narrow"/>
          <w:b/>
          <w:sz w:val="24"/>
          <w:szCs w:val="24"/>
        </w:rPr>
        <w:t xml:space="preserve"> </w:t>
      </w:r>
      <w:r w:rsidRPr="00C82375">
        <w:rPr>
          <w:rFonts w:ascii="Arial Narrow" w:hAnsi="Arial Narrow"/>
          <w:b/>
          <w:sz w:val="24"/>
          <w:szCs w:val="24"/>
        </w:rPr>
        <w:t>(Object 030)</w:t>
      </w:r>
    </w:p>
    <w:p w:rsidR="00924ABA" w:rsidRPr="00C82375" w:rsidRDefault="00924ABA" w:rsidP="00924ABA">
      <w:pPr>
        <w:rPr>
          <w:rFonts w:ascii="Arial Narrow" w:hAnsi="Arial Narrow"/>
          <w:sz w:val="24"/>
          <w:szCs w:val="24"/>
        </w:rPr>
      </w:pPr>
      <w:r w:rsidRPr="00C82375">
        <w:rPr>
          <w:rFonts w:ascii="Arial Narrow" w:hAnsi="Arial Narrow"/>
          <w:color w:val="000000"/>
          <w:sz w:val="24"/>
          <w:szCs w:val="24"/>
        </w:rPr>
        <w:t xml:space="preserve">The Department’s </w:t>
      </w:r>
      <w:r w:rsidRPr="00C82375">
        <w:rPr>
          <w:rFonts w:ascii="Arial Narrow" w:hAnsi="Arial Narrow" w:cs="Arial"/>
          <w:sz w:val="24"/>
          <w:szCs w:val="24"/>
        </w:rPr>
        <w:t xml:space="preserve">projections </w:t>
      </w:r>
      <w:r w:rsidR="00832D4A" w:rsidRPr="00C82375">
        <w:rPr>
          <w:rFonts w:ascii="Arial Narrow" w:hAnsi="Arial Narrow" w:cs="Arial"/>
          <w:sz w:val="24"/>
          <w:szCs w:val="24"/>
        </w:rPr>
        <w:t xml:space="preserve">in this object </w:t>
      </w:r>
      <w:r w:rsidRPr="00C82375">
        <w:rPr>
          <w:rFonts w:ascii="Arial Narrow" w:hAnsi="Arial Narrow" w:cs="Arial"/>
          <w:sz w:val="24"/>
          <w:szCs w:val="24"/>
        </w:rPr>
        <w:t>include</w:t>
      </w:r>
      <w:r w:rsidRPr="00C82375">
        <w:rPr>
          <w:rFonts w:ascii="Arial Narrow" w:hAnsi="Arial Narrow"/>
          <w:color w:val="000000"/>
          <w:sz w:val="24"/>
          <w:szCs w:val="24"/>
        </w:rPr>
        <w:t xml:space="preserve"> fees associated with </w:t>
      </w:r>
      <w:r w:rsidR="0035088D">
        <w:rPr>
          <w:rFonts w:ascii="Arial Narrow" w:hAnsi="Arial Narrow"/>
          <w:color w:val="000000"/>
          <w:sz w:val="24"/>
          <w:szCs w:val="24"/>
        </w:rPr>
        <w:t xml:space="preserve">space </w:t>
      </w:r>
      <w:r w:rsidR="00832D4A" w:rsidRPr="00C82375">
        <w:rPr>
          <w:rFonts w:ascii="Arial Narrow" w:hAnsi="Arial Narrow"/>
          <w:color w:val="000000"/>
          <w:sz w:val="24"/>
          <w:szCs w:val="24"/>
        </w:rPr>
        <w:t xml:space="preserve">rental at </w:t>
      </w:r>
      <w:r w:rsidRPr="00C82375">
        <w:rPr>
          <w:rFonts w:ascii="Arial Narrow" w:hAnsi="Arial Narrow"/>
          <w:color w:val="000000"/>
          <w:sz w:val="24"/>
          <w:szCs w:val="24"/>
        </w:rPr>
        <w:t>outreach events (i.e., street fairs, community festivals), contracting more than 550 f</w:t>
      </w:r>
      <w:r w:rsidRPr="00C82375">
        <w:rPr>
          <w:rFonts w:ascii="Arial Narrow" w:hAnsi="Arial Narrow"/>
          <w:sz w:val="24"/>
          <w:szCs w:val="24"/>
        </w:rPr>
        <w:t xml:space="preserve">acilities to house polling places, parking to accommodate over 200 rental vehicles used on Election Day, </w:t>
      </w:r>
      <w:r w:rsidR="00091B15">
        <w:rPr>
          <w:rFonts w:ascii="Arial Narrow" w:hAnsi="Arial Narrow"/>
          <w:sz w:val="24"/>
          <w:szCs w:val="24"/>
        </w:rPr>
        <w:t xml:space="preserve">classroom </w:t>
      </w:r>
      <w:r w:rsidRPr="00C82375">
        <w:rPr>
          <w:rFonts w:ascii="Arial Narrow" w:hAnsi="Arial Narrow"/>
          <w:sz w:val="24"/>
          <w:szCs w:val="24"/>
        </w:rPr>
        <w:t>rental for poll worker</w:t>
      </w:r>
      <w:r w:rsidR="00091B15">
        <w:rPr>
          <w:rFonts w:ascii="Arial Narrow" w:hAnsi="Arial Narrow"/>
          <w:sz w:val="24"/>
          <w:szCs w:val="24"/>
        </w:rPr>
        <w:t xml:space="preserve"> training</w:t>
      </w:r>
      <w:r w:rsidRPr="00C82375">
        <w:rPr>
          <w:rFonts w:ascii="Arial Narrow" w:hAnsi="Arial Narrow"/>
          <w:sz w:val="24"/>
          <w:szCs w:val="24"/>
        </w:rPr>
        <w:t xml:space="preserve">, </w:t>
      </w:r>
      <w:r w:rsidR="00091B15">
        <w:rPr>
          <w:rFonts w:ascii="Arial Narrow" w:hAnsi="Arial Narrow"/>
          <w:sz w:val="24"/>
          <w:szCs w:val="24"/>
        </w:rPr>
        <w:t xml:space="preserve">warehouse </w:t>
      </w:r>
      <w:r w:rsidRPr="00C82375">
        <w:rPr>
          <w:rFonts w:ascii="Arial Narrow" w:hAnsi="Arial Narrow"/>
          <w:sz w:val="24"/>
          <w:szCs w:val="24"/>
        </w:rPr>
        <w:t xml:space="preserve">rental, </w:t>
      </w:r>
      <w:r w:rsidR="002D0F9E" w:rsidRPr="00C82375">
        <w:rPr>
          <w:rFonts w:ascii="Arial Narrow" w:hAnsi="Arial Narrow"/>
          <w:sz w:val="24"/>
          <w:szCs w:val="24"/>
        </w:rPr>
        <w:t xml:space="preserve">and </w:t>
      </w:r>
      <w:r w:rsidRPr="00C82375">
        <w:rPr>
          <w:rFonts w:ascii="Arial Narrow" w:hAnsi="Arial Narrow"/>
          <w:sz w:val="24"/>
          <w:szCs w:val="24"/>
        </w:rPr>
        <w:t xml:space="preserve">rental of alternative space during </w:t>
      </w:r>
      <w:r w:rsidR="00091B15">
        <w:rPr>
          <w:rFonts w:ascii="Arial Narrow" w:hAnsi="Arial Narrow"/>
          <w:sz w:val="24"/>
          <w:szCs w:val="24"/>
        </w:rPr>
        <w:t xml:space="preserve">election </w:t>
      </w:r>
      <w:r w:rsidRPr="00C82375">
        <w:rPr>
          <w:rFonts w:ascii="Arial Narrow" w:hAnsi="Arial Narrow"/>
          <w:sz w:val="24"/>
          <w:szCs w:val="24"/>
        </w:rPr>
        <w:t xml:space="preserve">week if parking around </w:t>
      </w:r>
      <w:r w:rsidR="00091B15">
        <w:rPr>
          <w:rFonts w:ascii="Arial Narrow" w:hAnsi="Arial Narrow"/>
          <w:sz w:val="24"/>
          <w:szCs w:val="24"/>
        </w:rPr>
        <w:t xml:space="preserve">the </w:t>
      </w:r>
      <w:r w:rsidRPr="00C82375">
        <w:rPr>
          <w:rFonts w:ascii="Arial Narrow" w:hAnsi="Arial Narrow"/>
          <w:sz w:val="24"/>
          <w:szCs w:val="24"/>
        </w:rPr>
        <w:t xml:space="preserve">Pier 48 </w:t>
      </w:r>
      <w:r w:rsidR="00091B15">
        <w:rPr>
          <w:rFonts w:ascii="Arial Narrow" w:hAnsi="Arial Narrow"/>
          <w:sz w:val="24"/>
          <w:szCs w:val="24"/>
        </w:rPr>
        <w:t xml:space="preserve">warehouse </w:t>
      </w:r>
      <w:r w:rsidRPr="00C82375">
        <w:rPr>
          <w:rFonts w:ascii="Arial Narrow" w:hAnsi="Arial Narrow"/>
          <w:sz w:val="24"/>
          <w:szCs w:val="24"/>
        </w:rPr>
        <w:t>become</w:t>
      </w:r>
      <w:r w:rsidR="00091B15">
        <w:rPr>
          <w:rFonts w:ascii="Arial Narrow" w:hAnsi="Arial Narrow"/>
          <w:sz w:val="24"/>
          <w:szCs w:val="24"/>
        </w:rPr>
        <w:t>s</w:t>
      </w:r>
      <w:r w:rsidRPr="00C82375">
        <w:rPr>
          <w:rFonts w:ascii="Arial Narrow" w:hAnsi="Arial Narrow"/>
          <w:sz w:val="24"/>
          <w:szCs w:val="24"/>
        </w:rPr>
        <w:t xml:space="preserve"> unavailable.</w:t>
      </w:r>
      <w:r w:rsidRPr="00C82375">
        <w:rPr>
          <w:rStyle w:val="FootnoteReference"/>
          <w:rFonts w:ascii="Arial Narrow" w:hAnsi="Arial Narrow"/>
          <w:sz w:val="24"/>
          <w:szCs w:val="24"/>
        </w:rPr>
        <w:footnoteReference w:id="4"/>
      </w:r>
      <w:r w:rsidRPr="00C82375">
        <w:rPr>
          <w:rFonts w:ascii="Arial Narrow" w:hAnsi="Arial Narrow"/>
          <w:sz w:val="24"/>
          <w:szCs w:val="24"/>
        </w:rPr>
        <w:t xml:space="preserve">   </w:t>
      </w:r>
    </w:p>
    <w:p w:rsidR="00924ABA" w:rsidRPr="00C82375" w:rsidRDefault="00924ABA" w:rsidP="00924ABA">
      <w:pPr>
        <w:rPr>
          <w:rFonts w:ascii="Arial Narrow" w:hAnsi="Arial Narrow"/>
          <w:sz w:val="24"/>
          <w:szCs w:val="24"/>
        </w:rPr>
      </w:pPr>
    </w:p>
    <w:p w:rsidR="00924ABA" w:rsidRPr="00C82375" w:rsidRDefault="00FC1922" w:rsidP="00924ABA">
      <w:pPr>
        <w:rPr>
          <w:rFonts w:ascii="Arial Narrow" w:hAnsi="Arial Narrow"/>
          <w:sz w:val="24"/>
          <w:szCs w:val="24"/>
        </w:rPr>
      </w:pPr>
      <w:r w:rsidRPr="00C82375">
        <w:rPr>
          <w:rFonts w:ascii="Arial Narrow" w:hAnsi="Arial Narrow" w:cs="Arial"/>
          <w:sz w:val="24"/>
          <w:szCs w:val="24"/>
        </w:rPr>
        <w:t xml:space="preserve">A one-time </w:t>
      </w:r>
      <w:r>
        <w:rPr>
          <w:rFonts w:ascii="Arial Narrow" w:hAnsi="Arial Narrow" w:cs="Arial"/>
          <w:sz w:val="24"/>
          <w:szCs w:val="24"/>
        </w:rPr>
        <w:t xml:space="preserve">expenditure of </w:t>
      </w:r>
      <w:r w:rsidRPr="00C82375">
        <w:rPr>
          <w:rFonts w:ascii="Arial Narrow" w:hAnsi="Arial Narrow" w:cs="Arial"/>
          <w:sz w:val="24"/>
          <w:szCs w:val="24"/>
        </w:rPr>
        <w:t>$500,000 was allocated in FY 2014-15 by the Mayor’s Budget Office for anticipated increases in</w:t>
      </w:r>
      <w:r>
        <w:rPr>
          <w:rFonts w:ascii="Arial Narrow" w:hAnsi="Arial Narrow" w:cs="Arial"/>
          <w:sz w:val="24"/>
          <w:szCs w:val="24"/>
        </w:rPr>
        <w:t xml:space="preserve"> warehouse</w:t>
      </w:r>
      <w:r w:rsidRPr="00C82375">
        <w:rPr>
          <w:rFonts w:ascii="Arial Narrow" w:hAnsi="Arial Narrow" w:cs="Arial"/>
          <w:sz w:val="24"/>
          <w:szCs w:val="24"/>
        </w:rPr>
        <w:t xml:space="preserve"> rental costs, additional data processing equipment needs, and rental fees for two facilities should the build out of a new</w:t>
      </w:r>
      <w:r w:rsidRPr="00C82375">
        <w:rPr>
          <w:rFonts w:ascii="Arial Narrow" w:hAnsi="Arial Narrow"/>
          <w:sz w:val="24"/>
          <w:szCs w:val="24"/>
        </w:rPr>
        <w:t xml:space="preserve"> site require maintaining two facilities concurrently</w:t>
      </w:r>
      <w:r w:rsidR="00924ABA" w:rsidRPr="00C82375">
        <w:rPr>
          <w:rFonts w:ascii="Arial Narrow" w:hAnsi="Arial Narrow"/>
          <w:sz w:val="24"/>
          <w:szCs w:val="24"/>
        </w:rPr>
        <w:t>.</w:t>
      </w:r>
      <w:r w:rsidR="00924ABA" w:rsidRPr="00C82375">
        <w:rPr>
          <w:rStyle w:val="FootnoteReference"/>
          <w:rFonts w:ascii="Arial Narrow" w:hAnsi="Arial Narrow"/>
          <w:sz w:val="24"/>
          <w:szCs w:val="24"/>
        </w:rPr>
        <w:footnoteReference w:id="5"/>
      </w:r>
      <w:r w:rsidR="00924ABA" w:rsidRPr="00C82375">
        <w:rPr>
          <w:rFonts w:ascii="Arial Narrow" w:hAnsi="Arial Narrow"/>
          <w:sz w:val="24"/>
          <w:szCs w:val="24"/>
        </w:rPr>
        <w:t xml:space="preserve"> </w:t>
      </w:r>
      <w:r w:rsidR="00924ABA" w:rsidRPr="00C82375">
        <w:rPr>
          <w:rFonts w:ascii="Arial Narrow" w:hAnsi="Arial Narrow"/>
        </w:rPr>
        <w:t xml:space="preserve"> </w:t>
      </w:r>
      <w:r w:rsidR="00924ABA" w:rsidRPr="00C82375">
        <w:rPr>
          <w:rFonts w:ascii="Arial Narrow" w:hAnsi="Arial Narrow" w:cs="Arial"/>
          <w:sz w:val="24"/>
          <w:szCs w:val="24"/>
        </w:rPr>
        <w:t xml:space="preserve">It is unlikely that the Department will expend this funding in FY 2014-15, as </w:t>
      </w:r>
      <w:r w:rsidR="00043D52">
        <w:rPr>
          <w:rFonts w:ascii="Arial Narrow" w:hAnsi="Arial Narrow" w:cs="Arial"/>
          <w:sz w:val="24"/>
          <w:szCs w:val="24"/>
        </w:rPr>
        <w:t>a</w:t>
      </w:r>
      <w:r w:rsidR="00924ABA" w:rsidRPr="00C82375">
        <w:rPr>
          <w:rFonts w:ascii="Arial Narrow" w:hAnsi="Arial Narrow" w:cs="Arial"/>
          <w:sz w:val="24"/>
          <w:szCs w:val="24"/>
        </w:rPr>
        <w:t xml:space="preserve"> new site </w:t>
      </w:r>
      <w:r w:rsidR="00043D52">
        <w:rPr>
          <w:rFonts w:ascii="Arial Narrow" w:hAnsi="Arial Narrow" w:cs="Arial"/>
          <w:sz w:val="24"/>
          <w:szCs w:val="24"/>
        </w:rPr>
        <w:t>has not yet been</w:t>
      </w:r>
      <w:r w:rsidR="00924ABA" w:rsidRPr="00C82375">
        <w:rPr>
          <w:rFonts w:ascii="Arial Narrow" w:hAnsi="Arial Narrow" w:cs="Arial"/>
          <w:sz w:val="24"/>
          <w:szCs w:val="24"/>
        </w:rPr>
        <w:t xml:space="preserve"> identified. Therefore, the Department proposes to allocate $500,000 for the facility lease in FY 2015-16</w:t>
      </w:r>
      <w:r w:rsidR="00521797" w:rsidRPr="00C82375">
        <w:rPr>
          <w:rFonts w:ascii="Arial Narrow" w:hAnsi="Arial Narrow" w:cs="Arial"/>
          <w:sz w:val="24"/>
          <w:szCs w:val="24"/>
        </w:rPr>
        <w:t xml:space="preserve">. </w:t>
      </w:r>
      <w:r w:rsidR="00924ABA" w:rsidRPr="00C82375">
        <w:rPr>
          <w:rFonts w:ascii="Arial Narrow" w:hAnsi="Arial Narrow" w:cs="Arial"/>
          <w:sz w:val="24"/>
          <w:szCs w:val="24"/>
        </w:rPr>
        <w:t xml:space="preserve">The Department plans to determine the actual rental rates associated with a new lease in FY 2015-16. Once a new site is identified, the Department will revise its projections for warehouse rental in the FY 2016-17 </w:t>
      </w:r>
      <w:proofErr w:type="gramStart"/>
      <w:r w:rsidR="00924ABA" w:rsidRPr="00C82375">
        <w:rPr>
          <w:rFonts w:ascii="Arial Narrow" w:hAnsi="Arial Narrow" w:cs="Arial"/>
          <w:sz w:val="24"/>
          <w:szCs w:val="24"/>
        </w:rPr>
        <w:t>budget</w:t>
      </w:r>
      <w:proofErr w:type="gramEnd"/>
      <w:r w:rsidR="00924ABA" w:rsidRPr="00C82375">
        <w:rPr>
          <w:rFonts w:ascii="Arial Narrow" w:hAnsi="Arial Narrow" w:cs="Arial"/>
          <w:sz w:val="24"/>
          <w:szCs w:val="24"/>
        </w:rPr>
        <w:t xml:space="preserve"> accordingly. </w:t>
      </w:r>
    </w:p>
    <w:p w:rsidR="00924ABA" w:rsidRPr="00C82375" w:rsidRDefault="00924ABA" w:rsidP="00924ABA">
      <w:pPr>
        <w:autoSpaceDE w:val="0"/>
        <w:autoSpaceDN w:val="0"/>
        <w:adjustRightInd w:val="0"/>
        <w:rPr>
          <w:rFonts w:ascii="Arial Narrow" w:eastAsiaTheme="minorHAnsi" w:hAnsi="Arial Narrow" w:cs="Calibri,Bold"/>
          <w:b/>
          <w:bCs/>
          <w:spacing w:val="0"/>
          <w:sz w:val="22"/>
          <w:szCs w:val="22"/>
        </w:rPr>
      </w:pPr>
    </w:p>
    <w:p w:rsidR="00924ABA" w:rsidRPr="00C82375" w:rsidRDefault="00924ABA" w:rsidP="00774578">
      <w:pPr>
        <w:ind w:left="720"/>
        <w:rPr>
          <w:rFonts w:ascii="Arial Narrow" w:hAnsi="Arial Narrow"/>
          <w:b/>
          <w:sz w:val="24"/>
          <w:szCs w:val="24"/>
        </w:rPr>
      </w:pPr>
      <w:r w:rsidRPr="00C82375">
        <w:rPr>
          <w:rFonts w:ascii="Arial Narrow" w:hAnsi="Arial Narrow"/>
          <w:b/>
          <w:sz w:val="24"/>
          <w:szCs w:val="24"/>
        </w:rPr>
        <w:t xml:space="preserve">Rents and Leases – Equipment </w:t>
      </w:r>
      <w:r w:rsidR="00E2567B" w:rsidRPr="00D722B4">
        <w:rPr>
          <w:rFonts w:ascii="Arial Narrow" w:hAnsi="Arial Narrow"/>
          <w:b/>
          <w:sz w:val="24"/>
          <w:szCs w:val="24"/>
        </w:rPr>
        <w:t>–</w:t>
      </w:r>
      <w:r w:rsidRPr="00C82375">
        <w:rPr>
          <w:rFonts w:ascii="Arial Narrow" w:hAnsi="Arial Narrow"/>
          <w:b/>
          <w:sz w:val="24"/>
          <w:szCs w:val="24"/>
        </w:rPr>
        <w:t xml:space="preserve"> (Object 031)</w:t>
      </w:r>
    </w:p>
    <w:p w:rsidR="00924ABA" w:rsidRPr="00C82375" w:rsidRDefault="00924ABA" w:rsidP="00924ABA">
      <w:pPr>
        <w:rPr>
          <w:rFonts w:ascii="Arial Narrow" w:hAnsi="Arial Narrow" w:cs="Arial"/>
          <w:b/>
          <w:sz w:val="24"/>
          <w:szCs w:val="24"/>
        </w:rPr>
      </w:pPr>
      <w:r w:rsidRPr="00C82375">
        <w:rPr>
          <w:rFonts w:ascii="Arial Narrow" w:hAnsi="Arial Narrow" w:cs="Arial"/>
          <w:sz w:val="24"/>
          <w:szCs w:val="24"/>
        </w:rPr>
        <w:t>The Department’s projections</w:t>
      </w:r>
      <w:r w:rsidR="00832D4A" w:rsidRPr="00C82375">
        <w:rPr>
          <w:rFonts w:ascii="Arial Narrow" w:hAnsi="Arial Narrow" w:cs="Arial"/>
          <w:sz w:val="24"/>
          <w:szCs w:val="24"/>
        </w:rPr>
        <w:t xml:space="preserve"> in this object </w:t>
      </w:r>
      <w:r w:rsidRPr="00C82375">
        <w:rPr>
          <w:rFonts w:ascii="Arial Narrow" w:hAnsi="Arial Narrow" w:cs="Arial"/>
          <w:sz w:val="24"/>
          <w:szCs w:val="24"/>
        </w:rPr>
        <w:t xml:space="preserve">include </w:t>
      </w:r>
      <w:r w:rsidR="00043D52">
        <w:rPr>
          <w:rFonts w:ascii="Arial Narrow" w:hAnsi="Arial Narrow" w:cs="Arial"/>
          <w:sz w:val="24"/>
          <w:szCs w:val="24"/>
        </w:rPr>
        <w:t xml:space="preserve">rental </w:t>
      </w:r>
      <w:r w:rsidRPr="00C82375">
        <w:rPr>
          <w:rFonts w:ascii="Arial Narrow" w:hAnsi="Arial Narrow" w:cs="Arial"/>
          <w:sz w:val="24"/>
          <w:szCs w:val="24"/>
        </w:rPr>
        <w:t xml:space="preserve">fees associated with </w:t>
      </w:r>
      <w:r w:rsidR="004C3B0B" w:rsidRPr="00C82375">
        <w:rPr>
          <w:rFonts w:ascii="Arial Narrow" w:hAnsi="Arial Narrow" w:cs="Arial"/>
          <w:sz w:val="24"/>
          <w:szCs w:val="24"/>
        </w:rPr>
        <w:t xml:space="preserve">forklifts and pallet jacks </w:t>
      </w:r>
      <w:r w:rsidR="004C3B0B">
        <w:rPr>
          <w:rFonts w:ascii="Arial Narrow" w:hAnsi="Arial Narrow" w:cs="Arial"/>
          <w:sz w:val="24"/>
          <w:szCs w:val="24"/>
        </w:rPr>
        <w:t xml:space="preserve">for </w:t>
      </w:r>
      <w:r w:rsidR="00043D52">
        <w:rPr>
          <w:rFonts w:ascii="Arial Narrow" w:hAnsi="Arial Narrow" w:cs="Arial"/>
          <w:sz w:val="24"/>
          <w:szCs w:val="24"/>
        </w:rPr>
        <w:t>staging</w:t>
      </w:r>
      <w:r w:rsidR="004C3B0B">
        <w:rPr>
          <w:rFonts w:ascii="Arial Narrow" w:hAnsi="Arial Narrow" w:cs="Arial"/>
          <w:sz w:val="24"/>
          <w:szCs w:val="24"/>
        </w:rPr>
        <w:t xml:space="preserve"> </w:t>
      </w:r>
      <w:r w:rsidR="00043D52">
        <w:rPr>
          <w:rFonts w:ascii="Arial Narrow" w:hAnsi="Arial Narrow" w:cs="Arial"/>
          <w:sz w:val="24"/>
          <w:szCs w:val="24"/>
        </w:rPr>
        <w:t xml:space="preserve">equipment </w:t>
      </w:r>
      <w:r w:rsidR="004C3B0B">
        <w:rPr>
          <w:rFonts w:ascii="Arial Narrow" w:hAnsi="Arial Narrow" w:cs="Arial"/>
          <w:sz w:val="24"/>
          <w:szCs w:val="24"/>
        </w:rPr>
        <w:t xml:space="preserve">and supplies prior to delivery to </w:t>
      </w:r>
      <w:r w:rsidR="00FC5A7C">
        <w:rPr>
          <w:rFonts w:ascii="Arial Narrow" w:hAnsi="Arial Narrow" w:cs="Arial"/>
          <w:sz w:val="24"/>
          <w:szCs w:val="24"/>
        </w:rPr>
        <w:t>polling place</w:t>
      </w:r>
      <w:r w:rsidR="00043D52">
        <w:rPr>
          <w:rFonts w:ascii="Arial Narrow" w:hAnsi="Arial Narrow" w:cs="Arial"/>
          <w:sz w:val="24"/>
          <w:szCs w:val="24"/>
        </w:rPr>
        <w:t>s</w:t>
      </w:r>
      <w:r w:rsidR="004C3B0B">
        <w:rPr>
          <w:rFonts w:ascii="Arial Narrow" w:hAnsi="Arial Narrow" w:cs="Arial"/>
          <w:sz w:val="24"/>
          <w:szCs w:val="24"/>
        </w:rPr>
        <w:t xml:space="preserve">; rental of </w:t>
      </w:r>
      <w:r w:rsidRPr="00C82375">
        <w:rPr>
          <w:rFonts w:ascii="Arial Narrow" w:hAnsi="Arial Narrow" w:cs="Arial"/>
          <w:sz w:val="24"/>
          <w:szCs w:val="24"/>
        </w:rPr>
        <w:t xml:space="preserve">over 200 vehicles, from small cars to semi-trailers, </w:t>
      </w:r>
      <w:r w:rsidR="00FC5A7C">
        <w:rPr>
          <w:rFonts w:ascii="Arial Narrow" w:hAnsi="Arial Narrow" w:cs="Arial"/>
          <w:sz w:val="24"/>
          <w:szCs w:val="24"/>
        </w:rPr>
        <w:t>to transport voting machines</w:t>
      </w:r>
      <w:r w:rsidR="004C3B0B">
        <w:rPr>
          <w:rFonts w:ascii="Arial Narrow" w:hAnsi="Arial Narrow" w:cs="Arial"/>
          <w:sz w:val="24"/>
          <w:szCs w:val="24"/>
        </w:rPr>
        <w:t xml:space="preserve"> and </w:t>
      </w:r>
      <w:r w:rsidR="00FC5A7C">
        <w:rPr>
          <w:rFonts w:ascii="Arial Narrow" w:hAnsi="Arial Narrow" w:cs="Arial"/>
          <w:sz w:val="24"/>
          <w:szCs w:val="24"/>
        </w:rPr>
        <w:t>ballots</w:t>
      </w:r>
      <w:r w:rsidR="004C3B0B">
        <w:rPr>
          <w:rFonts w:ascii="Arial Narrow" w:hAnsi="Arial Narrow" w:cs="Arial"/>
          <w:sz w:val="24"/>
          <w:szCs w:val="24"/>
        </w:rPr>
        <w:t xml:space="preserve">; </w:t>
      </w:r>
      <w:r w:rsidR="00FC5A7C">
        <w:rPr>
          <w:rFonts w:ascii="Arial Narrow" w:hAnsi="Arial Narrow" w:cs="Arial"/>
          <w:sz w:val="24"/>
          <w:szCs w:val="24"/>
        </w:rPr>
        <w:t xml:space="preserve">and </w:t>
      </w:r>
      <w:r w:rsidRPr="00C82375">
        <w:rPr>
          <w:rFonts w:ascii="Arial Narrow" w:hAnsi="Arial Narrow" w:cs="Arial"/>
          <w:sz w:val="24"/>
          <w:szCs w:val="24"/>
        </w:rPr>
        <w:t xml:space="preserve">rental fees for portable toilets provided at polling places on Election Day. </w:t>
      </w:r>
    </w:p>
    <w:p w:rsidR="009547B0" w:rsidRPr="00C82375" w:rsidRDefault="009547B0" w:rsidP="00924ABA">
      <w:pPr>
        <w:rPr>
          <w:rFonts w:ascii="Arial Narrow" w:hAnsi="Arial Narrow"/>
          <w:b/>
          <w:sz w:val="24"/>
          <w:szCs w:val="24"/>
        </w:rPr>
      </w:pPr>
    </w:p>
    <w:p w:rsidR="00924ABA" w:rsidRPr="00C82375" w:rsidRDefault="00924ABA" w:rsidP="00774578">
      <w:pPr>
        <w:ind w:left="720"/>
        <w:rPr>
          <w:rFonts w:ascii="Arial Narrow" w:hAnsi="Arial Narrow"/>
          <w:b/>
          <w:sz w:val="24"/>
          <w:szCs w:val="24"/>
        </w:rPr>
      </w:pPr>
      <w:r w:rsidRPr="00C82375">
        <w:rPr>
          <w:rFonts w:ascii="Arial Narrow" w:hAnsi="Arial Narrow"/>
          <w:b/>
          <w:sz w:val="24"/>
          <w:szCs w:val="24"/>
        </w:rPr>
        <w:t xml:space="preserve">Other Current Expenses – (Object 035) </w:t>
      </w:r>
    </w:p>
    <w:p w:rsidR="00924ABA" w:rsidRPr="00C82375" w:rsidRDefault="00924ABA" w:rsidP="00924ABA">
      <w:pPr>
        <w:outlineLvl w:val="0"/>
        <w:rPr>
          <w:rFonts w:ascii="Arial Narrow" w:hAnsi="Arial Narrow" w:cs="Arial"/>
          <w:sz w:val="24"/>
          <w:szCs w:val="24"/>
        </w:rPr>
      </w:pPr>
      <w:r w:rsidRPr="00C82375">
        <w:rPr>
          <w:rFonts w:ascii="Arial Narrow" w:hAnsi="Arial Narrow" w:cs="Arial"/>
          <w:sz w:val="24"/>
          <w:szCs w:val="24"/>
        </w:rPr>
        <w:t xml:space="preserve">This object includes expenses primarily associated with printing </w:t>
      </w:r>
      <w:r w:rsidR="00832D4A" w:rsidRPr="00C82375">
        <w:rPr>
          <w:rFonts w:ascii="Arial Narrow" w:hAnsi="Arial Narrow" w:cs="Arial"/>
          <w:sz w:val="24"/>
          <w:szCs w:val="24"/>
        </w:rPr>
        <w:t>o</w:t>
      </w:r>
      <w:r w:rsidRPr="00C82375">
        <w:rPr>
          <w:rFonts w:ascii="Arial Narrow" w:hAnsi="Arial Narrow" w:cs="Arial"/>
          <w:sz w:val="24"/>
          <w:szCs w:val="24"/>
        </w:rPr>
        <w:t>f election materials</w:t>
      </w:r>
      <w:r w:rsidR="00832D4A" w:rsidRPr="00C82375">
        <w:rPr>
          <w:rFonts w:ascii="Arial Narrow" w:hAnsi="Arial Narrow" w:cs="Arial"/>
          <w:sz w:val="24"/>
          <w:szCs w:val="24"/>
        </w:rPr>
        <w:t>, such as the o</w:t>
      </w:r>
      <w:r w:rsidR="00F565BE" w:rsidRPr="00C82375">
        <w:rPr>
          <w:rFonts w:ascii="Arial Narrow" w:hAnsi="Arial Narrow" w:cs="Arial"/>
          <w:sz w:val="24"/>
          <w:szCs w:val="24"/>
        </w:rPr>
        <w:t xml:space="preserve">fficial </w:t>
      </w:r>
      <w:r w:rsidR="00832D4A" w:rsidRPr="00C82375">
        <w:rPr>
          <w:rFonts w:ascii="Arial Narrow" w:hAnsi="Arial Narrow" w:cs="Arial"/>
          <w:sz w:val="24"/>
          <w:szCs w:val="24"/>
        </w:rPr>
        <w:t>b</w:t>
      </w:r>
      <w:r w:rsidR="00F565BE" w:rsidRPr="00C82375">
        <w:rPr>
          <w:rFonts w:ascii="Arial Narrow" w:hAnsi="Arial Narrow" w:cs="Arial"/>
          <w:sz w:val="24"/>
          <w:szCs w:val="24"/>
        </w:rPr>
        <w:t>allot</w:t>
      </w:r>
      <w:r w:rsidR="007C09D6" w:rsidRPr="00C82375">
        <w:rPr>
          <w:rFonts w:ascii="Arial Narrow" w:hAnsi="Arial Narrow" w:cs="Arial"/>
          <w:sz w:val="24"/>
          <w:szCs w:val="24"/>
        </w:rPr>
        <w:t>s</w:t>
      </w:r>
      <w:r w:rsidR="00F565BE" w:rsidRPr="00C82375">
        <w:rPr>
          <w:rFonts w:ascii="Arial Narrow" w:hAnsi="Arial Narrow" w:cs="Arial"/>
          <w:sz w:val="24"/>
          <w:szCs w:val="24"/>
        </w:rPr>
        <w:t>;</w:t>
      </w:r>
      <w:r w:rsidRPr="00C82375">
        <w:rPr>
          <w:rFonts w:ascii="Arial Narrow" w:hAnsi="Arial Narrow" w:cs="Arial"/>
          <w:sz w:val="24"/>
          <w:szCs w:val="24"/>
        </w:rPr>
        <w:t xml:space="preserve"> </w:t>
      </w:r>
      <w:r w:rsidR="00F565BE" w:rsidRPr="00C82375">
        <w:rPr>
          <w:rFonts w:ascii="Arial Narrow" w:hAnsi="Arial Narrow" w:cs="Arial"/>
          <w:sz w:val="24"/>
          <w:szCs w:val="24"/>
        </w:rPr>
        <w:t>poll worker training materials;</w:t>
      </w:r>
      <w:r w:rsidRPr="00C82375">
        <w:rPr>
          <w:rFonts w:ascii="Arial Narrow" w:hAnsi="Arial Narrow" w:cs="Arial"/>
          <w:sz w:val="24"/>
          <w:szCs w:val="24"/>
        </w:rPr>
        <w:t xml:space="preserve"> voter educational materials</w:t>
      </w:r>
      <w:r w:rsidR="00F565BE" w:rsidRPr="00C82375">
        <w:rPr>
          <w:rFonts w:ascii="Arial Narrow" w:hAnsi="Arial Narrow" w:cs="Arial"/>
          <w:sz w:val="24"/>
          <w:szCs w:val="24"/>
        </w:rPr>
        <w:t>;</w:t>
      </w:r>
      <w:r w:rsidRPr="00C82375">
        <w:rPr>
          <w:rFonts w:ascii="Arial Narrow" w:hAnsi="Arial Narrow" w:cs="Arial"/>
          <w:sz w:val="24"/>
          <w:szCs w:val="24"/>
        </w:rPr>
        <w:t xml:space="preserve"> posters to advertise election information in or on Muni busses, BART stations, and newspapers</w:t>
      </w:r>
      <w:r w:rsidR="00F565BE" w:rsidRPr="00C82375">
        <w:rPr>
          <w:rFonts w:ascii="Arial Narrow" w:hAnsi="Arial Narrow" w:cs="Arial"/>
          <w:sz w:val="24"/>
          <w:szCs w:val="24"/>
        </w:rPr>
        <w:t>;</w:t>
      </w:r>
      <w:r w:rsidRPr="00C82375">
        <w:rPr>
          <w:rFonts w:ascii="Arial Narrow" w:hAnsi="Arial Narrow" w:cs="Arial"/>
          <w:sz w:val="24"/>
          <w:szCs w:val="24"/>
        </w:rPr>
        <w:t xml:space="preserve"> various envelopes to </w:t>
      </w:r>
      <w:r w:rsidR="00F565BE" w:rsidRPr="00C82375">
        <w:rPr>
          <w:rFonts w:ascii="Arial Narrow" w:hAnsi="Arial Narrow" w:cs="Arial"/>
          <w:sz w:val="24"/>
          <w:szCs w:val="24"/>
        </w:rPr>
        <w:t>preserve secrecy of the ballots; polling place signage</w:t>
      </w:r>
      <w:r w:rsidR="00832D4A" w:rsidRPr="00C82375">
        <w:rPr>
          <w:rFonts w:ascii="Arial Narrow" w:hAnsi="Arial Narrow" w:cs="Arial"/>
          <w:sz w:val="24"/>
          <w:szCs w:val="24"/>
        </w:rPr>
        <w:t xml:space="preserve">; </w:t>
      </w:r>
      <w:r w:rsidR="00FC5A7C">
        <w:rPr>
          <w:rFonts w:ascii="Arial Narrow" w:hAnsi="Arial Narrow" w:cs="Arial"/>
          <w:sz w:val="24"/>
          <w:szCs w:val="24"/>
        </w:rPr>
        <w:t xml:space="preserve">and </w:t>
      </w:r>
      <w:r w:rsidR="00832D4A" w:rsidRPr="00C82375">
        <w:rPr>
          <w:rFonts w:ascii="Arial Narrow" w:hAnsi="Arial Narrow" w:cs="Arial"/>
          <w:sz w:val="24"/>
          <w:szCs w:val="24"/>
        </w:rPr>
        <w:t xml:space="preserve">rosters of voters. </w:t>
      </w:r>
      <w:r w:rsidR="00DA5295">
        <w:rPr>
          <w:rFonts w:ascii="Arial Narrow" w:hAnsi="Arial Narrow" w:cs="Arial"/>
          <w:sz w:val="24"/>
          <w:szCs w:val="24"/>
        </w:rPr>
        <w:t>T</w:t>
      </w:r>
      <w:r w:rsidR="00832D4A" w:rsidRPr="00C82375">
        <w:rPr>
          <w:rFonts w:ascii="Arial Narrow" w:hAnsi="Arial Narrow" w:cs="Arial"/>
          <w:sz w:val="24"/>
          <w:szCs w:val="24"/>
        </w:rPr>
        <w:t xml:space="preserve">his object </w:t>
      </w:r>
      <w:r w:rsidR="00DA5295">
        <w:rPr>
          <w:rFonts w:ascii="Arial Narrow" w:hAnsi="Arial Narrow" w:cs="Arial"/>
          <w:sz w:val="24"/>
          <w:szCs w:val="24"/>
        </w:rPr>
        <w:t xml:space="preserve">also </w:t>
      </w:r>
      <w:r w:rsidRPr="00C82375">
        <w:rPr>
          <w:rFonts w:ascii="Arial Narrow" w:hAnsi="Arial Narrow" w:cs="Arial"/>
          <w:sz w:val="24"/>
          <w:szCs w:val="24"/>
        </w:rPr>
        <w:t xml:space="preserve">includes funding </w:t>
      </w:r>
      <w:r w:rsidR="002E4EA4">
        <w:rPr>
          <w:rFonts w:ascii="Arial Narrow" w:hAnsi="Arial Narrow" w:cs="Arial"/>
          <w:sz w:val="24"/>
          <w:szCs w:val="24"/>
        </w:rPr>
        <w:t>for</w:t>
      </w:r>
      <w:r w:rsidRPr="00C82375">
        <w:rPr>
          <w:rFonts w:ascii="Arial Narrow" w:hAnsi="Arial Narrow" w:cs="Arial"/>
          <w:sz w:val="24"/>
          <w:szCs w:val="24"/>
        </w:rPr>
        <w:t xml:space="preserve"> mailing of mandated voter notices and to allow voters to return their </w:t>
      </w:r>
      <w:r w:rsidR="00277C40" w:rsidRPr="00C82375">
        <w:rPr>
          <w:rFonts w:ascii="Arial Narrow" w:hAnsi="Arial Narrow" w:cs="Arial"/>
          <w:sz w:val="24"/>
          <w:szCs w:val="24"/>
        </w:rPr>
        <w:t>vote-by-mail</w:t>
      </w:r>
      <w:r w:rsidR="00DA5295">
        <w:rPr>
          <w:rFonts w:ascii="Arial Narrow" w:hAnsi="Arial Narrow" w:cs="Arial"/>
          <w:sz w:val="24"/>
          <w:szCs w:val="24"/>
        </w:rPr>
        <w:t xml:space="preserve"> ballots free of charge. Additionally, the </w:t>
      </w:r>
      <w:r w:rsidRPr="00C82375">
        <w:rPr>
          <w:rFonts w:ascii="Arial Narrow" w:hAnsi="Arial Narrow" w:cs="Arial"/>
          <w:sz w:val="24"/>
          <w:szCs w:val="24"/>
        </w:rPr>
        <w:t xml:space="preserve">projections </w:t>
      </w:r>
      <w:r w:rsidR="00DA5295">
        <w:rPr>
          <w:rFonts w:ascii="Arial Narrow" w:hAnsi="Arial Narrow" w:cs="Arial"/>
          <w:sz w:val="24"/>
          <w:szCs w:val="24"/>
        </w:rPr>
        <w:t xml:space="preserve">in this object </w:t>
      </w:r>
      <w:r w:rsidRPr="00C82375">
        <w:rPr>
          <w:rFonts w:ascii="Arial Narrow" w:hAnsi="Arial Narrow" w:cs="Arial"/>
          <w:sz w:val="24"/>
          <w:szCs w:val="24"/>
        </w:rPr>
        <w:t>assume the funding for publication of legal notices, s</w:t>
      </w:r>
      <w:r w:rsidRPr="00C82375">
        <w:rPr>
          <w:rFonts w:ascii="Arial Narrow" w:hAnsi="Arial Narrow"/>
          <w:color w:val="000000"/>
          <w:sz w:val="24"/>
          <w:szCs w:val="24"/>
        </w:rPr>
        <w:t xml:space="preserve">oftware licensing fees, and server support.  </w:t>
      </w:r>
    </w:p>
    <w:p w:rsidR="00924ABA" w:rsidRPr="00C82375" w:rsidRDefault="00924ABA" w:rsidP="00924ABA">
      <w:pPr>
        <w:rPr>
          <w:rFonts w:ascii="Arial Narrow" w:hAnsi="Arial Narrow"/>
          <w:b/>
          <w:sz w:val="24"/>
          <w:szCs w:val="24"/>
        </w:rPr>
      </w:pPr>
    </w:p>
    <w:p w:rsidR="00924ABA" w:rsidRPr="00C82375" w:rsidRDefault="00924ABA" w:rsidP="00774578">
      <w:pPr>
        <w:ind w:left="720"/>
        <w:rPr>
          <w:rFonts w:ascii="Arial Narrow" w:hAnsi="Arial Narrow"/>
          <w:b/>
          <w:sz w:val="24"/>
          <w:szCs w:val="24"/>
        </w:rPr>
      </w:pPr>
      <w:r w:rsidRPr="00C82375">
        <w:rPr>
          <w:rFonts w:ascii="Arial Narrow" w:hAnsi="Arial Narrow"/>
          <w:b/>
          <w:sz w:val="24"/>
          <w:szCs w:val="24"/>
        </w:rPr>
        <w:t>Taxes; Licenses and Permits – (Object 052)</w:t>
      </w:r>
    </w:p>
    <w:p w:rsidR="00924ABA" w:rsidRPr="00C82375" w:rsidRDefault="00924ABA" w:rsidP="00924ABA">
      <w:pPr>
        <w:rPr>
          <w:rFonts w:ascii="Arial Narrow" w:hAnsi="Arial Narrow"/>
          <w:b/>
          <w:sz w:val="24"/>
          <w:szCs w:val="24"/>
        </w:rPr>
      </w:pPr>
      <w:r w:rsidRPr="00C82375">
        <w:rPr>
          <w:rFonts w:ascii="Arial Narrow" w:hAnsi="Arial Narrow" w:cs="Arial"/>
          <w:sz w:val="24"/>
          <w:szCs w:val="24"/>
        </w:rPr>
        <w:lastRenderedPageBreak/>
        <w:t>The Department’s projections</w:t>
      </w:r>
      <w:r w:rsidR="00BC13B4">
        <w:rPr>
          <w:rFonts w:ascii="Arial Narrow" w:hAnsi="Arial Narrow" w:cs="Arial"/>
          <w:sz w:val="24"/>
          <w:szCs w:val="24"/>
        </w:rPr>
        <w:t xml:space="preserve"> in this object </w:t>
      </w:r>
      <w:r w:rsidRPr="00C82375">
        <w:rPr>
          <w:rFonts w:ascii="Arial Narrow" w:hAnsi="Arial Narrow" w:cs="Arial"/>
          <w:sz w:val="24"/>
          <w:szCs w:val="24"/>
        </w:rPr>
        <w:t>include annual fees associated with the USPS permits it maintains to facili</w:t>
      </w:r>
      <w:r w:rsidR="00197901" w:rsidRPr="00C82375">
        <w:rPr>
          <w:rFonts w:ascii="Arial Narrow" w:hAnsi="Arial Narrow" w:cs="Arial"/>
          <w:sz w:val="24"/>
          <w:szCs w:val="24"/>
        </w:rPr>
        <w:t xml:space="preserve">tate mailing and receipt of </w:t>
      </w:r>
      <w:r w:rsidRPr="00C82375">
        <w:rPr>
          <w:rFonts w:ascii="Arial Narrow" w:hAnsi="Arial Narrow" w:cs="Arial"/>
          <w:sz w:val="24"/>
          <w:szCs w:val="24"/>
        </w:rPr>
        <w:t>election materials</w:t>
      </w:r>
      <w:r w:rsidR="00DA5295">
        <w:rPr>
          <w:rFonts w:ascii="Arial Narrow" w:hAnsi="Arial Narrow" w:cs="Arial"/>
          <w:sz w:val="24"/>
          <w:szCs w:val="24"/>
        </w:rPr>
        <w:t>, including vote-by-mail ballots</w:t>
      </w:r>
      <w:r w:rsidRPr="00C82375">
        <w:rPr>
          <w:rFonts w:ascii="Arial Narrow" w:hAnsi="Arial Narrow" w:cs="Arial"/>
          <w:sz w:val="24"/>
          <w:szCs w:val="24"/>
        </w:rPr>
        <w:t xml:space="preserve">. </w:t>
      </w:r>
    </w:p>
    <w:p w:rsidR="00924ABA" w:rsidRPr="00C82375" w:rsidRDefault="00924ABA" w:rsidP="00924ABA">
      <w:pPr>
        <w:rPr>
          <w:rFonts w:ascii="Arial Narrow" w:hAnsi="Arial Narrow"/>
          <w:b/>
          <w:sz w:val="24"/>
          <w:szCs w:val="24"/>
        </w:rPr>
      </w:pPr>
    </w:p>
    <w:p w:rsidR="00924ABA" w:rsidRPr="00C82375" w:rsidRDefault="00924ABA" w:rsidP="00774578">
      <w:pPr>
        <w:ind w:left="720"/>
        <w:rPr>
          <w:rFonts w:ascii="Arial Narrow" w:hAnsi="Arial Narrow"/>
          <w:b/>
          <w:sz w:val="24"/>
          <w:szCs w:val="24"/>
        </w:rPr>
      </w:pPr>
      <w:r w:rsidRPr="00C82375">
        <w:rPr>
          <w:rFonts w:ascii="Arial Narrow" w:hAnsi="Arial Narrow"/>
          <w:b/>
          <w:sz w:val="24"/>
          <w:szCs w:val="24"/>
        </w:rPr>
        <w:t>Building and Construction Supplies, Safety, Food, and Other Materials and Supplies – (Object 042</w:t>
      </w:r>
      <w:r w:rsidRPr="00C82375">
        <w:rPr>
          <w:rFonts w:ascii="Arial Narrow" w:hAnsi="Arial Narrow" w:cs="Arial"/>
          <w:b/>
          <w:sz w:val="24"/>
          <w:szCs w:val="24"/>
        </w:rPr>
        <w:t xml:space="preserve">–043, 045–046, </w:t>
      </w:r>
      <w:proofErr w:type="gramStart"/>
      <w:r w:rsidRPr="00C82375">
        <w:rPr>
          <w:rFonts w:ascii="Arial Narrow" w:hAnsi="Arial Narrow"/>
          <w:b/>
          <w:sz w:val="24"/>
          <w:szCs w:val="24"/>
        </w:rPr>
        <w:t>049</w:t>
      </w:r>
      <w:proofErr w:type="gramEnd"/>
      <w:r w:rsidRPr="00C82375">
        <w:rPr>
          <w:rFonts w:ascii="Arial Narrow" w:hAnsi="Arial Narrow"/>
          <w:b/>
          <w:sz w:val="24"/>
          <w:szCs w:val="24"/>
        </w:rPr>
        <w:t xml:space="preserve">)  </w:t>
      </w:r>
    </w:p>
    <w:p w:rsidR="00924ABA" w:rsidRPr="00C82375" w:rsidRDefault="00924ABA" w:rsidP="00924ABA">
      <w:pPr>
        <w:rPr>
          <w:rFonts w:ascii="Arial Narrow" w:hAnsi="Arial Narrow"/>
          <w:sz w:val="24"/>
          <w:szCs w:val="24"/>
        </w:rPr>
      </w:pPr>
      <w:r w:rsidRPr="00C82375">
        <w:rPr>
          <w:rFonts w:ascii="Arial Narrow" w:hAnsi="Arial Narrow"/>
          <w:sz w:val="24"/>
          <w:szCs w:val="24"/>
        </w:rPr>
        <w:t>The Department’s projections</w:t>
      </w:r>
      <w:r w:rsidR="00385384" w:rsidRPr="00C82375">
        <w:rPr>
          <w:rFonts w:ascii="Arial Narrow" w:hAnsi="Arial Narrow"/>
          <w:sz w:val="24"/>
          <w:szCs w:val="24"/>
        </w:rPr>
        <w:t xml:space="preserve"> in these objects </w:t>
      </w:r>
      <w:r w:rsidRPr="00C82375">
        <w:rPr>
          <w:rFonts w:ascii="Arial Narrow" w:hAnsi="Arial Narrow"/>
          <w:sz w:val="24"/>
          <w:szCs w:val="24"/>
        </w:rPr>
        <w:t>include</w:t>
      </w:r>
      <w:r w:rsidR="00385384" w:rsidRPr="00C82375">
        <w:rPr>
          <w:rFonts w:ascii="Arial Narrow" w:hAnsi="Arial Narrow"/>
          <w:sz w:val="24"/>
          <w:szCs w:val="24"/>
        </w:rPr>
        <w:t xml:space="preserve"> costs associated with </w:t>
      </w:r>
      <w:r w:rsidRPr="00C82375">
        <w:rPr>
          <w:rFonts w:ascii="Arial Narrow" w:hAnsi="Arial Narrow"/>
          <w:sz w:val="24"/>
          <w:szCs w:val="24"/>
        </w:rPr>
        <w:t xml:space="preserve">polling place, office, IT, and hardware supplies. The </w:t>
      </w:r>
      <w:r w:rsidRPr="00C82375">
        <w:rPr>
          <w:rFonts w:ascii="Arial Narrow" w:hAnsi="Arial Narrow" w:cs="Arial"/>
          <w:sz w:val="24"/>
          <w:szCs w:val="24"/>
        </w:rPr>
        <w:t xml:space="preserve">requested funding reflects the anticipated need to replace or replenish supplies, such as </w:t>
      </w:r>
      <w:r w:rsidRPr="00C82375">
        <w:rPr>
          <w:rFonts w:ascii="Arial Narrow" w:hAnsi="Arial Narrow"/>
          <w:sz w:val="24"/>
          <w:szCs w:val="24"/>
        </w:rPr>
        <w:t xml:space="preserve">shrink wrap used to secure ballots until expiration of the retention period; threshold mats and ramps used to achieve </w:t>
      </w:r>
      <w:r w:rsidR="002E4EA4">
        <w:rPr>
          <w:rFonts w:ascii="Arial Narrow" w:hAnsi="Arial Narrow"/>
          <w:sz w:val="24"/>
          <w:szCs w:val="24"/>
        </w:rPr>
        <w:t xml:space="preserve">polling place </w:t>
      </w:r>
      <w:r w:rsidRPr="00C82375">
        <w:rPr>
          <w:rFonts w:ascii="Arial Narrow" w:hAnsi="Arial Narrow"/>
          <w:sz w:val="24"/>
          <w:szCs w:val="24"/>
        </w:rPr>
        <w:t xml:space="preserve">accessibility; power strips and adapters for voting equipment; </w:t>
      </w:r>
      <w:r w:rsidR="002E4EA4">
        <w:rPr>
          <w:rFonts w:ascii="Arial Narrow" w:hAnsi="Arial Narrow"/>
          <w:sz w:val="24"/>
          <w:szCs w:val="24"/>
        </w:rPr>
        <w:t xml:space="preserve">voting booth </w:t>
      </w:r>
      <w:r w:rsidRPr="00C82375">
        <w:rPr>
          <w:rFonts w:ascii="Arial Narrow" w:hAnsi="Arial Narrow"/>
          <w:sz w:val="24"/>
          <w:szCs w:val="24"/>
        </w:rPr>
        <w:t>repairs; tamper-evident security seals</w:t>
      </w:r>
      <w:r w:rsidR="004B3691">
        <w:rPr>
          <w:rFonts w:ascii="Arial Narrow" w:hAnsi="Arial Narrow"/>
          <w:sz w:val="24"/>
          <w:szCs w:val="24"/>
        </w:rPr>
        <w:t xml:space="preserve"> </w:t>
      </w:r>
      <w:r w:rsidR="00D21413">
        <w:rPr>
          <w:rFonts w:ascii="Arial Narrow" w:hAnsi="Arial Narrow"/>
          <w:sz w:val="24"/>
          <w:szCs w:val="24"/>
        </w:rPr>
        <w:t xml:space="preserve">for </w:t>
      </w:r>
      <w:r w:rsidRPr="00C82375">
        <w:rPr>
          <w:rFonts w:ascii="Arial Narrow" w:hAnsi="Arial Narrow"/>
          <w:sz w:val="24"/>
          <w:szCs w:val="24"/>
        </w:rPr>
        <w:t xml:space="preserve">voting </w:t>
      </w:r>
      <w:r w:rsidR="00D21413">
        <w:rPr>
          <w:rFonts w:ascii="Arial Narrow" w:hAnsi="Arial Narrow"/>
          <w:sz w:val="24"/>
          <w:szCs w:val="24"/>
        </w:rPr>
        <w:t xml:space="preserve">equipment; </w:t>
      </w:r>
      <w:r w:rsidRPr="00C82375">
        <w:rPr>
          <w:rFonts w:ascii="Arial Narrow" w:hAnsi="Arial Narrow"/>
          <w:sz w:val="24"/>
          <w:szCs w:val="24"/>
        </w:rPr>
        <w:t>ballot pens</w:t>
      </w:r>
      <w:r w:rsidR="00D21413">
        <w:rPr>
          <w:rFonts w:ascii="Arial Narrow" w:hAnsi="Arial Narrow"/>
          <w:sz w:val="24"/>
          <w:szCs w:val="24"/>
        </w:rPr>
        <w:t xml:space="preserve">; </w:t>
      </w:r>
      <w:r w:rsidR="002E4EA4">
        <w:rPr>
          <w:rFonts w:ascii="Arial Narrow" w:hAnsi="Arial Narrow"/>
          <w:sz w:val="24"/>
          <w:szCs w:val="24"/>
        </w:rPr>
        <w:t xml:space="preserve">“I Voted” </w:t>
      </w:r>
      <w:r w:rsidRPr="00C82375">
        <w:rPr>
          <w:rFonts w:ascii="Arial Narrow" w:hAnsi="Arial Narrow"/>
          <w:sz w:val="24"/>
          <w:szCs w:val="24"/>
        </w:rPr>
        <w:t xml:space="preserve">stickers and </w:t>
      </w:r>
      <w:r w:rsidR="002E4EA4">
        <w:rPr>
          <w:rFonts w:ascii="Arial Narrow" w:hAnsi="Arial Narrow"/>
          <w:sz w:val="24"/>
          <w:szCs w:val="24"/>
        </w:rPr>
        <w:t xml:space="preserve">required poll worker </w:t>
      </w:r>
      <w:r w:rsidRPr="00C82375">
        <w:rPr>
          <w:rFonts w:ascii="Arial Narrow" w:hAnsi="Arial Narrow"/>
          <w:sz w:val="24"/>
          <w:szCs w:val="24"/>
        </w:rPr>
        <w:t xml:space="preserve">name badges; and office paper. </w:t>
      </w:r>
    </w:p>
    <w:p w:rsidR="00924ABA" w:rsidRPr="00C82375" w:rsidRDefault="00924ABA" w:rsidP="00924ABA">
      <w:pPr>
        <w:outlineLvl w:val="0"/>
        <w:rPr>
          <w:rFonts w:ascii="Arial Narrow" w:hAnsi="Arial Narrow" w:cs="Arial"/>
          <w:sz w:val="24"/>
          <w:szCs w:val="24"/>
        </w:rPr>
      </w:pPr>
    </w:p>
    <w:p w:rsidR="00924ABA" w:rsidRPr="00C82375" w:rsidRDefault="00924ABA" w:rsidP="00924ABA">
      <w:pPr>
        <w:outlineLvl w:val="0"/>
        <w:rPr>
          <w:rFonts w:ascii="Arial Narrow" w:hAnsi="Arial Narrow" w:cs="Arial"/>
          <w:color w:val="000000"/>
          <w:sz w:val="24"/>
          <w:szCs w:val="24"/>
        </w:rPr>
      </w:pPr>
      <w:r w:rsidRPr="00C82375">
        <w:rPr>
          <w:rFonts w:ascii="Arial Narrow" w:hAnsi="Arial Narrow" w:cs="Arial"/>
          <w:sz w:val="24"/>
          <w:szCs w:val="24"/>
        </w:rPr>
        <w:t xml:space="preserve">The projections also include expenses associated with </w:t>
      </w:r>
      <w:r w:rsidR="00466B48" w:rsidRPr="00C82375">
        <w:rPr>
          <w:rFonts w:ascii="Arial Narrow" w:hAnsi="Arial Narrow" w:cs="Arial"/>
          <w:sz w:val="24"/>
          <w:szCs w:val="24"/>
        </w:rPr>
        <w:t xml:space="preserve">the </w:t>
      </w:r>
      <w:r w:rsidRPr="00C82375">
        <w:rPr>
          <w:rFonts w:ascii="Arial Narrow" w:hAnsi="Arial Narrow" w:cs="Arial"/>
          <w:sz w:val="24"/>
          <w:szCs w:val="24"/>
        </w:rPr>
        <w:t xml:space="preserve">purchase of </w:t>
      </w:r>
      <w:r w:rsidR="004B3691">
        <w:rPr>
          <w:rFonts w:ascii="Arial Narrow" w:hAnsi="Arial Narrow" w:cs="Arial"/>
          <w:sz w:val="24"/>
          <w:szCs w:val="24"/>
        </w:rPr>
        <w:t xml:space="preserve">warehouse staff </w:t>
      </w:r>
      <w:r w:rsidRPr="00C82375">
        <w:rPr>
          <w:rFonts w:ascii="Arial Narrow" w:hAnsi="Arial Narrow" w:cs="Arial"/>
          <w:sz w:val="24"/>
          <w:szCs w:val="24"/>
        </w:rPr>
        <w:t>uniform</w:t>
      </w:r>
      <w:r w:rsidR="00466B48" w:rsidRPr="00C82375">
        <w:rPr>
          <w:rFonts w:ascii="Arial Narrow" w:hAnsi="Arial Narrow" w:cs="Arial"/>
          <w:sz w:val="24"/>
          <w:szCs w:val="24"/>
        </w:rPr>
        <w:t xml:space="preserve">s </w:t>
      </w:r>
      <w:r w:rsidRPr="00C82375">
        <w:rPr>
          <w:rFonts w:ascii="Arial Narrow" w:hAnsi="Arial Narrow" w:cs="Arial"/>
          <w:sz w:val="24"/>
          <w:szCs w:val="24"/>
        </w:rPr>
        <w:t>and r</w:t>
      </w:r>
      <w:r w:rsidRPr="00C82375">
        <w:rPr>
          <w:rFonts w:ascii="Arial Narrow" w:hAnsi="Arial Narrow" w:cs="Arial"/>
          <w:color w:val="000000"/>
          <w:sz w:val="24"/>
          <w:szCs w:val="24"/>
        </w:rPr>
        <w:t>efreshments for the members of the Ballot Simplification Committee, attendees of the Poll Worker Network</w:t>
      </w:r>
      <w:r w:rsidR="003D14E9" w:rsidRPr="00C82375">
        <w:rPr>
          <w:rFonts w:ascii="Arial Narrow" w:hAnsi="Arial Narrow" w:cs="Arial"/>
          <w:color w:val="000000"/>
          <w:sz w:val="24"/>
          <w:szCs w:val="24"/>
        </w:rPr>
        <w:t>, Voter Information Network</w:t>
      </w:r>
      <w:r w:rsidR="008D5E0F" w:rsidRPr="00C82375">
        <w:rPr>
          <w:rFonts w:ascii="Arial Narrow" w:hAnsi="Arial Narrow" w:cs="Arial"/>
          <w:color w:val="000000"/>
          <w:sz w:val="24"/>
          <w:szCs w:val="24"/>
        </w:rPr>
        <w:t>,</w:t>
      </w:r>
      <w:r w:rsidR="003D14E9" w:rsidRPr="00C82375">
        <w:rPr>
          <w:rFonts w:ascii="Arial Narrow" w:hAnsi="Arial Narrow" w:cs="Arial"/>
          <w:color w:val="000000"/>
          <w:sz w:val="24"/>
          <w:szCs w:val="24"/>
        </w:rPr>
        <w:t xml:space="preserve"> and Voting Accessibility Advisory Committee </w:t>
      </w:r>
      <w:r w:rsidRPr="00C82375">
        <w:rPr>
          <w:rFonts w:ascii="Arial Narrow" w:hAnsi="Arial Narrow" w:cs="Arial"/>
          <w:color w:val="000000"/>
          <w:sz w:val="24"/>
          <w:szCs w:val="24"/>
        </w:rPr>
        <w:t xml:space="preserve">meetings. </w:t>
      </w:r>
    </w:p>
    <w:p w:rsidR="00924ABA" w:rsidRDefault="00924ABA" w:rsidP="00924ABA">
      <w:pPr>
        <w:autoSpaceDE w:val="0"/>
        <w:autoSpaceDN w:val="0"/>
        <w:adjustRightInd w:val="0"/>
        <w:rPr>
          <w:rFonts w:ascii="Calibri,Bold" w:eastAsiaTheme="minorHAnsi" w:hAnsi="Calibri,Bold" w:cs="Calibri,Bold"/>
          <w:b/>
          <w:bCs/>
          <w:spacing w:val="0"/>
          <w:sz w:val="22"/>
          <w:szCs w:val="22"/>
        </w:rPr>
      </w:pPr>
    </w:p>
    <w:p w:rsidR="00D57553" w:rsidRPr="00D722B4" w:rsidRDefault="00D57553" w:rsidP="00D57553">
      <w:pPr>
        <w:ind w:left="720"/>
        <w:rPr>
          <w:rFonts w:ascii="Arial Narrow" w:hAnsi="Arial Narrow"/>
          <w:b/>
          <w:sz w:val="24"/>
          <w:szCs w:val="24"/>
        </w:rPr>
      </w:pPr>
      <w:r w:rsidRPr="00D57553">
        <w:rPr>
          <w:rFonts w:ascii="Arial Narrow" w:hAnsi="Arial Narrow"/>
          <w:b/>
          <w:sz w:val="24"/>
          <w:szCs w:val="24"/>
        </w:rPr>
        <w:t>Equipment Purchase – (Object 060)</w:t>
      </w:r>
    </w:p>
    <w:p w:rsidR="00D57553" w:rsidRPr="00D722B4" w:rsidRDefault="00D57553" w:rsidP="00D57553">
      <w:pPr>
        <w:autoSpaceDE w:val="0"/>
        <w:autoSpaceDN w:val="0"/>
        <w:adjustRightInd w:val="0"/>
        <w:rPr>
          <w:rFonts w:ascii="Arial Narrow" w:hAnsi="Arial Narrow" w:cs="Arial"/>
          <w:sz w:val="24"/>
          <w:szCs w:val="24"/>
        </w:rPr>
      </w:pPr>
      <w:r w:rsidRPr="00D722B4">
        <w:rPr>
          <w:rFonts w:ascii="Arial Narrow" w:hAnsi="Arial Narrow" w:cs="Arial"/>
          <w:sz w:val="24"/>
          <w:szCs w:val="24"/>
        </w:rPr>
        <w:t xml:space="preserve">The Department requests approval of $191,000 to fund the purchase of new equipment, specifically: </w:t>
      </w:r>
    </w:p>
    <w:p w:rsidR="00D57553" w:rsidRPr="00D722B4" w:rsidRDefault="00D57553" w:rsidP="00D57553">
      <w:pPr>
        <w:autoSpaceDE w:val="0"/>
        <w:autoSpaceDN w:val="0"/>
        <w:adjustRightInd w:val="0"/>
        <w:rPr>
          <w:rFonts w:ascii="Arial Narrow" w:hAnsi="Arial Narrow" w:cs="Arial"/>
          <w:sz w:val="24"/>
          <w:szCs w:val="24"/>
        </w:rPr>
      </w:pPr>
    </w:p>
    <w:p w:rsidR="00D57553" w:rsidRPr="00BB39F0" w:rsidRDefault="00D57553" w:rsidP="00BB39F0">
      <w:pPr>
        <w:pStyle w:val="NoSpacing"/>
        <w:numPr>
          <w:ilvl w:val="0"/>
          <w:numId w:val="12"/>
        </w:numPr>
        <w:rPr>
          <w:rFonts w:ascii="Arial Narrow" w:hAnsi="Arial Narrow" w:cs="Arial"/>
        </w:rPr>
      </w:pPr>
      <w:r w:rsidRPr="00BB39F0">
        <w:rPr>
          <w:rFonts w:ascii="Arial Narrow" w:hAnsi="Arial Narrow" w:cs="Arial"/>
        </w:rPr>
        <w:t>$98,000 to acquire additional ballot extraction equipment</w:t>
      </w:r>
    </w:p>
    <w:p w:rsidR="00D57553" w:rsidRPr="00BB39F0" w:rsidRDefault="00D57553" w:rsidP="00BB39F0">
      <w:pPr>
        <w:pStyle w:val="NoSpacing"/>
        <w:rPr>
          <w:rFonts w:ascii="Arial Narrow" w:hAnsi="Arial Narrow" w:cs="Arial"/>
        </w:rPr>
      </w:pPr>
      <w:r w:rsidRPr="00BB39F0">
        <w:rPr>
          <w:rFonts w:ascii="Arial Narrow" w:hAnsi="Arial Narrow" w:cs="Arial"/>
        </w:rPr>
        <w:t xml:space="preserve">The number of voters who vote by mail has increased steadily over the years and the Department anticipates this trend to continue. The two ballot extractors that the Department acquired last year were operating at maximum capacity to handle the number of vote-by-mail ballots received during the November 2014 election. In anticipation of the upcoming high-turnout elections with multi-card ballots, two additional ballot extractors are vital to the Department’s ability to provide timely results while meeting statutory requirements for processing vote-by-mail ballots. </w:t>
      </w:r>
    </w:p>
    <w:p w:rsidR="00D57553" w:rsidRPr="00BB39F0" w:rsidRDefault="00D57553" w:rsidP="00BB39F0">
      <w:pPr>
        <w:pStyle w:val="NoSpacing"/>
        <w:rPr>
          <w:rFonts w:ascii="Arial Narrow" w:hAnsi="Arial Narrow" w:cs="Arial"/>
        </w:rPr>
      </w:pPr>
      <w:r w:rsidRPr="00BB39F0">
        <w:rPr>
          <w:rFonts w:ascii="Arial Narrow" w:hAnsi="Arial Narrow" w:cs="Arial"/>
        </w:rPr>
        <w:t>This additional equipment would allow the Department to reduce overtime; thus, the funds necessary for this purchase are offset by a corresponding reduction to the previously approved overtime funding.   </w:t>
      </w:r>
    </w:p>
    <w:p w:rsidR="00D57553" w:rsidRPr="00BB39F0" w:rsidRDefault="00D57553" w:rsidP="00BB39F0">
      <w:pPr>
        <w:pStyle w:val="NoSpacing"/>
        <w:rPr>
          <w:rFonts w:ascii="Arial Narrow" w:hAnsi="Arial Narrow"/>
        </w:rPr>
      </w:pPr>
    </w:p>
    <w:p w:rsidR="00BB39F0" w:rsidRPr="00BB39F0" w:rsidRDefault="00D57553" w:rsidP="00BB39F0">
      <w:pPr>
        <w:pStyle w:val="NoSpacing"/>
        <w:numPr>
          <w:ilvl w:val="0"/>
          <w:numId w:val="12"/>
        </w:numPr>
        <w:rPr>
          <w:rFonts w:ascii="Arial Narrow" w:hAnsi="Arial Narrow"/>
        </w:rPr>
      </w:pPr>
      <w:r w:rsidRPr="00BB39F0">
        <w:rPr>
          <w:rFonts w:ascii="Arial Narrow" w:hAnsi="Arial Narrow"/>
        </w:rPr>
        <w:t>$72,000 to purchase a high-speed scanner</w:t>
      </w:r>
    </w:p>
    <w:p w:rsidR="00D57553" w:rsidRPr="00BB39F0" w:rsidRDefault="00D57553" w:rsidP="00BB39F0">
      <w:pPr>
        <w:pStyle w:val="NoSpacing"/>
        <w:rPr>
          <w:rFonts w:ascii="Arial Narrow" w:hAnsi="Arial Narrow"/>
        </w:rPr>
      </w:pPr>
      <w:r w:rsidRPr="00BB39F0">
        <w:rPr>
          <w:rFonts w:ascii="Arial Narrow" w:hAnsi="Arial Narrow"/>
        </w:rPr>
        <w:t xml:space="preserve">The high-speed ballot scanner would allow for scanning and sorting of the ballots that </w:t>
      </w:r>
      <w:proofErr w:type="spellStart"/>
      <w:r w:rsidRPr="00BB39F0">
        <w:rPr>
          <w:rFonts w:ascii="Arial Narrow" w:hAnsi="Arial Narrow"/>
        </w:rPr>
        <w:t>outstack</w:t>
      </w:r>
      <w:proofErr w:type="spellEnd"/>
      <w:r w:rsidRPr="00BB39F0">
        <w:rPr>
          <w:rFonts w:ascii="Arial Narrow" w:hAnsi="Arial Narrow"/>
        </w:rPr>
        <w:t xml:space="preserve">, for reasons such as </w:t>
      </w:r>
      <w:proofErr w:type="spellStart"/>
      <w:r w:rsidRPr="00BB39F0">
        <w:rPr>
          <w:rFonts w:ascii="Arial Narrow" w:hAnsi="Arial Narrow"/>
        </w:rPr>
        <w:t>overvotes</w:t>
      </w:r>
      <w:proofErr w:type="spellEnd"/>
      <w:r w:rsidRPr="00BB39F0">
        <w:rPr>
          <w:rFonts w:ascii="Arial Narrow" w:hAnsi="Arial Narrow"/>
        </w:rPr>
        <w:t xml:space="preserve">, </w:t>
      </w:r>
      <w:proofErr w:type="spellStart"/>
      <w:r w:rsidRPr="00BB39F0">
        <w:rPr>
          <w:rFonts w:ascii="Arial Narrow" w:hAnsi="Arial Narrow"/>
        </w:rPr>
        <w:t>undervotes</w:t>
      </w:r>
      <w:proofErr w:type="spellEnd"/>
      <w:r w:rsidRPr="00BB39F0">
        <w:rPr>
          <w:rFonts w:ascii="Arial Narrow" w:hAnsi="Arial Narrow"/>
        </w:rPr>
        <w:t xml:space="preserve">, or information that is not readable by the voting system. The Department currently uses equipment assembled in-house for this purpose.  With the steady increase in vote-by-mail ballot volume, this improvised equipment is no longer sufficient. </w:t>
      </w:r>
    </w:p>
    <w:p w:rsidR="003C1108" w:rsidRDefault="003C1108" w:rsidP="003C1108">
      <w:pPr>
        <w:pStyle w:val="NoSpacing"/>
        <w:ind w:left="360"/>
        <w:rPr>
          <w:rFonts w:ascii="Arial Narrow" w:hAnsi="Arial Narrow"/>
        </w:rPr>
      </w:pPr>
    </w:p>
    <w:p w:rsidR="00D57553" w:rsidRPr="00BB39F0" w:rsidRDefault="00D57553" w:rsidP="00BB39F0">
      <w:pPr>
        <w:pStyle w:val="NoSpacing"/>
        <w:numPr>
          <w:ilvl w:val="0"/>
          <w:numId w:val="12"/>
        </w:numPr>
        <w:rPr>
          <w:rFonts w:ascii="Arial Narrow" w:hAnsi="Arial Narrow"/>
        </w:rPr>
      </w:pPr>
      <w:r w:rsidRPr="00BB39F0">
        <w:rPr>
          <w:rFonts w:ascii="Arial Narrow" w:hAnsi="Arial Narrow"/>
        </w:rPr>
        <w:t xml:space="preserve">$22,000 to replace three obsolete servers </w:t>
      </w:r>
    </w:p>
    <w:p w:rsidR="00D57553" w:rsidRPr="00BB39F0" w:rsidRDefault="00D57553" w:rsidP="00BB39F0">
      <w:pPr>
        <w:pStyle w:val="NoSpacing"/>
        <w:rPr>
          <w:rFonts w:ascii="Arial Narrow" w:hAnsi="Arial Narrow"/>
        </w:rPr>
      </w:pPr>
      <w:r w:rsidRPr="00BB39F0">
        <w:rPr>
          <w:rFonts w:ascii="Arial Narrow" w:hAnsi="Arial Narrow"/>
        </w:rPr>
        <w:t xml:space="preserve">One new Dell PowerEdge R720 server would allow performance of CPU-intensive tasks such as video conversion and the processing of rosters of voters, which involves scanning and verifying each voter’s signature, as required under state law. The current servers cannot handle output from the scanners efficiently, making it challenging for the Department to meet election deadlines. </w:t>
      </w:r>
    </w:p>
    <w:p w:rsidR="00D57553" w:rsidRPr="00D722B4" w:rsidRDefault="00D57553" w:rsidP="00D57553">
      <w:pPr>
        <w:autoSpaceDE w:val="0"/>
        <w:autoSpaceDN w:val="0"/>
        <w:adjustRightInd w:val="0"/>
        <w:rPr>
          <w:rFonts w:ascii="Arial Narrow" w:hAnsi="Arial Narrow" w:cs="Arial"/>
          <w:sz w:val="24"/>
          <w:szCs w:val="24"/>
        </w:rPr>
      </w:pPr>
    </w:p>
    <w:p w:rsidR="00D57553" w:rsidRPr="00D722B4" w:rsidRDefault="00D57553" w:rsidP="00D57553">
      <w:pPr>
        <w:autoSpaceDE w:val="0"/>
        <w:autoSpaceDN w:val="0"/>
        <w:adjustRightInd w:val="0"/>
        <w:rPr>
          <w:rFonts w:ascii="Arial Narrow" w:hAnsi="Arial Narrow" w:cs="Arial"/>
          <w:sz w:val="24"/>
          <w:szCs w:val="24"/>
        </w:rPr>
      </w:pPr>
      <w:r w:rsidRPr="00D722B4">
        <w:rPr>
          <w:rFonts w:ascii="Arial Narrow" w:hAnsi="Arial Narrow" w:cs="Arial"/>
          <w:sz w:val="24"/>
          <w:szCs w:val="24"/>
        </w:rPr>
        <w:t xml:space="preserve">Two new Dell PowerEdge R420 servers are required to replace Department servers that are nearing the end of their useful life. </w:t>
      </w:r>
      <w:r>
        <w:rPr>
          <w:rFonts w:ascii="Arial Narrow" w:hAnsi="Arial Narrow" w:cs="Arial"/>
          <w:sz w:val="24"/>
          <w:szCs w:val="24"/>
        </w:rPr>
        <w:t xml:space="preserve">Unless these servers are replaced before Microsoft discontinues its support for Windows Server 2003 in July 2015, the Department will be vulnerable to security threats and may find it difficult </w:t>
      </w:r>
      <w:r w:rsidRPr="00D722B4">
        <w:rPr>
          <w:rFonts w:ascii="Arial Narrow" w:hAnsi="Arial Narrow" w:cs="Arial"/>
          <w:sz w:val="24"/>
          <w:szCs w:val="24"/>
        </w:rPr>
        <w:t xml:space="preserve">to </w:t>
      </w:r>
      <w:r>
        <w:rPr>
          <w:rFonts w:ascii="Arial Narrow" w:hAnsi="Arial Narrow" w:cs="Arial"/>
          <w:sz w:val="24"/>
          <w:szCs w:val="24"/>
        </w:rPr>
        <w:t>find any necessary</w:t>
      </w:r>
      <w:r w:rsidRPr="00D722B4">
        <w:rPr>
          <w:rFonts w:ascii="Arial Narrow" w:hAnsi="Arial Narrow" w:cs="Arial"/>
          <w:sz w:val="24"/>
          <w:szCs w:val="24"/>
        </w:rPr>
        <w:t xml:space="preserve"> replacement parts.</w:t>
      </w:r>
    </w:p>
    <w:p w:rsidR="00D57553" w:rsidRPr="00D722B4" w:rsidRDefault="00D57553" w:rsidP="00D57553">
      <w:pPr>
        <w:autoSpaceDE w:val="0"/>
        <w:autoSpaceDN w:val="0"/>
        <w:adjustRightInd w:val="0"/>
        <w:rPr>
          <w:rFonts w:ascii="Arial Narrow" w:hAnsi="Arial Narrow"/>
          <w:sz w:val="24"/>
          <w:szCs w:val="24"/>
        </w:rPr>
      </w:pPr>
      <w:r w:rsidRPr="00D722B4">
        <w:rPr>
          <w:rFonts w:ascii="Arial Narrow" w:hAnsi="Arial Narrow" w:cs="Arial"/>
          <w:sz w:val="24"/>
          <w:szCs w:val="24"/>
        </w:rPr>
        <w:t xml:space="preserve"> </w:t>
      </w:r>
    </w:p>
    <w:p w:rsidR="00D57553" w:rsidRPr="00D722B4" w:rsidRDefault="00D57553" w:rsidP="00D57553">
      <w:pPr>
        <w:ind w:left="720"/>
        <w:rPr>
          <w:rFonts w:ascii="Arial Narrow" w:hAnsi="Arial Narrow"/>
          <w:b/>
          <w:sz w:val="24"/>
          <w:szCs w:val="24"/>
        </w:rPr>
      </w:pPr>
      <w:r w:rsidRPr="00D722B4">
        <w:rPr>
          <w:rFonts w:ascii="Arial Narrow" w:hAnsi="Arial Narrow" w:cs="Arial"/>
          <w:b/>
          <w:spacing w:val="0"/>
          <w:sz w:val="24"/>
          <w:szCs w:val="24"/>
        </w:rPr>
        <w:lastRenderedPageBreak/>
        <w:t xml:space="preserve">Warehouse </w:t>
      </w:r>
      <w:r>
        <w:rPr>
          <w:rFonts w:ascii="Arial Narrow" w:hAnsi="Arial Narrow" w:cs="Arial"/>
          <w:b/>
          <w:spacing w:val="0"/>
          <w:sz w:val="24"/>
          <w:szCs w:val="24"/>
        </w:rPr>
        <w:t xml:space="preserve">Relocation </w:t>
      </w:r>
      <w:r w:rsidRPr="00D722B4">
        <w:rPr>
          <w:rFonts w:ascii="Arial Narrow" w:hAnsi="Arial Narrow"/>
          <w:b/>
          <w:sz w:val="24"/>
          <w:szCs w:val="24"/>
        </w:rPr>
        <w:t>– (Object 067)</w:t>
      </w:r>
    </w:p>
    <w:p w:rsidR="00D57553" w:rsidRPr="00D722B4" w:rsidRDefault="00D57553" w:rsidP="00D57553">
      <w:pPr>
        <w:rPr>
          <w:rFonts w:ascii="Arial Narrow" w:hAnsi="Arial Narrow" w:cs="Arial"/>
          <w:color w:val="000000"/>
          <w:sz w:val="24"/>
          <w:szCs w:val="24"/>
        </w:rPr>
      </w:pPr>
      <w:r w:rsidRPr="00D722B4">
        <w:rPr>
          <w:rFonts w:ascii="Arial Narrow" w:hAnsi="Arial Narrow" w:cs="Arial"/>
          <w:spacing w:val="0"/>
          <w:sz w:val="24"/>
          <w:szCs w:val="24"/>
        </w:rPr>
        <w:t xml:space="preserve">During last year’s budget cycle, a one-time capital expenditure in the amount of </w:t>
      </w:r>
      <w:r w:rsidRPr="00D722B4">
        <w:rPr>
          <w:rFonts w:ascii="Arial Narrow" w:hAnsi="Arial Narrow" w:cs="Arial"/>
          <w:color w:val="000000"/>
          <w:sz w:val="24"/>
          <w:szCs w:val="24"/>
        </w:rPr>
        <w:t xml:space="preserve">$2,000,000 was placed on a Budget and Finance Committee reserve, pending approval of the actual cost to relocate the Department’s warehouse and to build out a new space. As </w:t>
      </w:r>
      <w:r>
        <w:rPr>
          <w:rFonts w:ascii="Arial Narrow" w:hAnsi="Arial Narrow" w:cs="Arial"/>
          <w:color w:val="000000"/>
          <w:sz w:val="24"/>
          <w:szCs w:val="24"/>
        </w:rPr>
        <w:t>this</w:t>
      </w:r>
      <w:r w:rsidRPr="00D722B4">
        <w:rPr>
          <w:rFonts w:ascii="Arial Narrow" w:hAnsi="Arial Narrow" w:cs="Arial"/>
          <w:color w:val="000000"/>
          <w:sz w:val="24"/>
          <w:szCs w:val="24"/>
        </w:rPr>
        <w:t xml:space="preserve"> relocation is unlikely to take place in FY 2014-15, the Department requests that the same funding is placed in reserve in FY 2015-16. </w:t>
      </w:r>
    </w:p>
    <w:p w:rsidR="00D57553" w:rsidRPr="00D722B4" w:rsidRDefault="00D57553" w:rsidP="00D57553">
      <w:pPr>
        <w:rPr>
          <w:rFonts w:ascii="Arial Narrow" w:hAnsi="Arial Narrow" w:cs="Arial"/>
          <w:b/>
          <w:spacing w:val="0"/>
          <w:sz w:val="24"/>
          <w:szCs w:val="24"/>
        </w:rPr>
      </w:pPr>
    </w:p>
    <w:p w:rsidR="00D57553" w:rsidRPr="00D722B4" w:rsidRDefault="00D57553" w:rsidP="00D57553">
      <w:pPr>
        <w:ind w:left="720"/>
        <w:rPr>
          <w:rFonts w:ascii="Arial Narrow" w:hAnsi="Arial Narrow" w:cs="Arial"/>
          <w:b/>
          <w:spacing w:val="0"/>
          <w:sz w:val="24"/>
          <w:szCs w:val="24"/>
        </w:rPr>
      </w:pPr>
      <w:r w:rsidRPr="00D722B4">
        <w:rPr>
          <w:rFonts w:ascii="Arial Narrow" w:hAnsi="Arial Narrow" w:cs="Arial"/>
          <w:b/>
          <w:spacing w:val="0"/>
          <w:sz w:val="24"/>
          <w:szCs w:val="24"/>
        </w:rPr>
        <w:t xml:space="preserve">Work Order Requests with City Departments </w:t>
      </w:r>
      <w:r w:rsidRPr="00D722B4">
        <w:rPr>
          <w:rFonts w:ascii="Arial Narrow" w:hAnsi="Arial Narrow"/>
          <w:b/>
          <w:sz w:val="24"/>
          <w:szCs w:val="24"/>
        </w:rPr>
        <w:t xml:space="preserve">– (Character 81, </w:t>
      </w:r>
      <w:proofErr w:type="spellStart"/>
      <w:r w:rsidRPr="00D722B4">
        <w:rPr>
          <w:rFonts w:ascii="Arial Narrow" w:hAnsi="Arial Narrow"/>
          <w:b/>
          <w:sz w:val="24"/>
          <w:szCs w:val="24"/>
        </w:rPr>
        <w:t>Subobjects</w:t>
      </w:r>
      <w:proofErr w:type="spellEnd"/>
      <w:r w:rsidRPr="00D722B4">
        <w:rPr>
          <w:rFonts w:ascii="Arial Narrow" w:hAnsi="Arial Narrow"/>
          <w:b/>
          <w:sz w:val="24"/>
          <w:szCs w:val="24"/>
        </w:rPr>
        <w:t xml:space="preserve"> 081C5</w:t>
      </w:r>
      <w:r w:rsidR="00E2567B" w:rsidRPr="00C82375">
        <w:rPr>
          <w:rFonts w:ascii="Arial Narrow" w:hAnsi="Arial Narrow" w:cs="Arial"/>
          <w:b/>
          <w:sz w:val="24"/>
          <w:szCs w:val="24"/>
        </w:rPr>
        <w:t>–</w:t>
      </w:r>
      <w:r w:rsidRPr="00D722B4">
        <w:rPr>
          <w:rFonts w:ascii="Arial Narrow" w:hAnsi="Arial Narrow"/>
          <w:b/>
          <w:sz w:val="24"/>
          <w:szCs w:val="24"/>
        </w:rPr>
        <w:t xml:space="preserve"> 081WB)</w:t>
      </w:r>
    </w:p>
    <w:p w:rsidR="00D57553" w:rsidRDefault="00D57553" w:rsidP="00D57553">
      <w:pPr>
        <w:rPr>
          <w:rFonts w:ascii="Arial Narrow" w:hAnsi="Arial Narrow"/>
          <w:sz w:val="24"/>
          <w:szCs w:val="24"/>
        </w:rPr>
      </w:pPr>
      <w:r w:rsidRPr="00D722B4">
        <w:rPr>
          <w:rFonts w:ascii="Arial Narrow" w:hAnsi="Arial Narrow"/>
          <w:sz w:val="24"/>
          <w:szCs w:val="24"/>
        </w:rPr>
        <w:t xml:space="preserve">The projections in these </w:t>
      </w:r>
      <w:proofErr w:type="spellStart"/>
      <w:r w:rsidRPr="00D722B4">
        <w:rPr>
          <w:rFonts w:ascii="Arial Narrow" w:hAnsi="Arial Narrow"/>
          <w:sz w:val="24"/>
          <w:szCs w:val="24"/>
        </w:rPr>
        <w:t>subobjects</w:t>
      </w:r>
      <w:proofErr w:type="spellEnd"/>
      <w:r w:rsidRPr="00D722B4">
        <w:rPr>
          <w:rFonts w:ascii="Arial Narrow" w:hAnsi="Arial Narrow"/>
          <w:sz w:val="24"/>
          <w:szCs w:val="24"/>
        </w:rPr>
        <w:t xml:space="preserve"> include expenses associated with </w:t>
      </w:r>
      <w:r>
        <w:rPr>
          <w:rFonts w:ascii="Arial Narrow" w:hAnsi="Arial Narrow"/>
          <w:sz w:val="24"/>
          <w:szCs w:val="24"/>
        </w:rPr>
        <w:t>17</w:t>
      </w:r>
      <w:r w:rsidRPr="00D722B4">
        <w:rPr>
          <w:rFonts w:ascii="Arial Narrow" w:hAnsi="Arial Narrow"/>
          <w:sz w:val="24"/>
          <w:szCs w:val="24"/>
        </w:rPr>
        <w:t xml:space="preserve"> service work orders that the Department maintains with other City departments. </w:t>
      </w:r>
    </w:p>
    <w:p w:rsidR="00D57553" w:rsidRPr="00D722B4" w:rsidRDefault="00D57553" w:rsidP="00D57553">
      <w:pPr>
        <w:rPr>
          <w:rFonts w:ascii="Arial Narrow" w:hAnsi="Arial Narrow"/>
          <w:sz w:val="24"/>
          <w:szCs w:val="24"/>
        </w:rPr>
      </w:pPr>
    </w:p>
    <w:p w:rsidR="00D57553" w:rsidRPr="00D722B4" w:rsidRDefault="00D57553" w:rsidP="00D57553">
      <w:pPr>
        <w:autoSpaceDE w:val="0"/>
        <w:autoSpaceDN w:val="0"/>
        <w:adjustRightInd w:val="0"/>
        <w:rPr>
          <w:rFonts w:ascii="Arial Narrow" w:hAnsi="Arial Narrow" w:cs="Arial"/>
          <w:spacing w:val="0"/>
          <w:sz w:val="24"/>
          <w:szCs w:val="24"/>
        </w:rPr>
      </w:pPr>
      <w:r w:rsidRPr="00D722B4">
        <w:rPr>
          <w:rFonts w:ascii="Arial Narrow" w:hAnsi="Arial Narrow" w:cs="Arial"/>
          <w:spacing w:val="0"/>
          <w:sz w:val="24"/>
          <w:szCs w:val="24"/>
        </w:rPr>
        <w:t xml:space="preserve">The work orders with Fleet, Reprographics, Sheriff, and Parking and Traffic have service level changes depending on the number of elections </w:t>
      </w:r>
      <w:r>
        <w:rPr>
          <w:rFonts w:ascii="Arial Narrow" w:hAnsi="Arial Narrow" w:cs="Arial"/>
          <w:spacing w:val="0"/>
          <w:sz w:val="24"/>
          <w:szCs w:val="24"/>
        </w:rPr>
        <w:t xml:space="preserve">to be </w:t>
      </w:r>
      <w:r w:rsidRPr="00D722B4">
        <w:rPr>
          <w:rFonts w:ascii="Arial Narrow" w:hAnsi="Arial Narrow" w:cs="Arial"/>
          <w:spacing w:val="0"/>
          <w:sz w:val="24"/>
          <w:szCs w:val="24"/>
        </w:rPr>
        <w:t xml:space="preserve">conducted in a fiscal year. The budgeted funding for these work orders is agreed to and balanced across both the performing Department and the Department of Elections.  </w:t>
      </w:r>
    </w:p>
    <w:p w:rsidR="00D57553" w:rsidRPr="00D722B4" w:rsidRDefault="00D57553" w:rsidP="00D57553">
      <w:pPr>
        <w:autoSpaceDE w:val="0"/>
        <w:autoSpaceDN w:val="0"/>
        <w:adjustRightInd w:val="0"/>
        <w:rPr>
          <w:rFonts w:ascii="Arial Narrow" w:hAnsi="Arial Narrow" w:cs="Arial"/>
          <w:spacing w:val="0"/>
          <w:sz w:val="24"/>
          <w:szCs w:val="24"/>
        </w:rPr>
      </w:pPr>
    </w:p>
    <w:p w:rsidR="00D57553" w:rsidRPr="00D722B4" w:rsidRDefault="00D57553" w:rsidP="00D57553">
      <w:pPr>
        <w:autoSpaceDE w:val="0"/>
        <w:autoSpaceDN w:val="0"/>
        <w:adjustRightInd w:val="0"/>
        <w:rPr>
          <w:rFonts w:ascii="Arial Narrow" w:hAnsi="Arial Narrow" w:cs="Arial"/>
          <w:spacing w:val="0"/>
          <w:sz w:val="24"/>
          <w:szCs w:val="24"/>
        </w:rPr>
      </w:pPr>
      <w:r w:rsidRPr="00D722B4">
        <w:rPr>
          <w:rFonts w:ascii="Arial Narrow" w:hAnsi="Arial Narrow" w:cs="Arial"/>
          <w:spacing w:val="0"/>
          <w:sz w:val="24"/>
          <w:szCs w:val="24"/>
        </w:rPr>
        <w:t xml:space="preserve">The funding remains fixed in any fiscal year for work orders with Human Resources Client Services, Administrative General Services, and Youth Works.   </w:t>
      </w:r>
    </w:p>
    <w:p w:rsidR="00D57553" w:rsidRPr="00D722B4" w:rsidRDefault="00D57553" w:rsidP="00D57553">
      <w:pPr>
        <w:rPr>
          <w:rFonts w:ascii="Arial Narrow" w:hAnsi="Arial Narrow"/>
        </w:rPr>
      </w:pPr>
    </w:p>
    <w:p w:rsidR="00D57553" w:rsidRPr="00D722B4" w:rsidRDefault="00D57553" w:rsidP="00D57553">
      <w:pPr>
        <w:autoSpaceDE w:val="0"/>
        <w:autoSpaceDN w:val="0"/>
        <w:adjustRightInd w:val="0"/>
        <w:rPr>
          <w:rFonts w:ascii="Arial Narrow" w:hAnsi="Arial Narrow" w:cs="Arial"/>
          <w:spacing w:val="0"/>
          <w:sz w:val="24"/>
          <w:szCs w:val="24"/>
        </w:rPr>
      </w:pPr>
      <w:r w:rsidRPr="00D722B4">
        <w:rPr>
          <w:rFonts w:ascii="Arial Narrow" w:hAnsi="Arial Narrow" w:cs="Arial"/>
          <w:spacing w:val="0"/>
          <w:sz w:val="24"/>
          <w:szCs w:val="24"/>
        </w:rPr>
        <w:t xml:space="preserve">The funding for work orders with the Department of Technology, Risk Management, Real Estate, and the Public Utilities Commission is authorized and loaded into the budget system by the Mayor’s </w:t>
      </w:r>
      <w:r>
        <w:rPr>
          <w:rFonts w:ascii="Arial Narrow" w:hAnsi="Arial Narrow" w:cs="Arial"/>
          <w:spacing w:val="0"/>
          <w:sz w:val="24"/>
          <w:szCs w:val="24"/>
        </w:rPr>
        <w:t>Budget O</w:t>
      </w:r>
      <w:r w:rsidRPr="00D722B4">
        <w:rPr>
          <w:rFonts w:ascii="Arial Narrow" w:hAnsi="Arial Narrow" w:cs="Arial"/>
          <w:spacing w:val="0"/>
          <w:sz w:val="24"/>
          <w:szCs w:val="24"/>
        </w:rPr>
        <w:t xml:space="preserve">ffice. </w:t>
      </w:r>
    </w:p>
    <w:p w:rsidR="00D57553" w:rsidRPr="00D722B4" w:rsidRDefault="00D57553" w:rsidP="00D57553">
      <w:pPr>
        <w:autoSpaceDE w:val="0"/>
        <w:autoSpaceDN w:val="0"/>
        <w:adjustRightInd w:val="0"/>
        <w:rPr>
          <w:rFonts w:ascii="Arial Narrow" w:hAnsi="Arial Narrow" w:cs="Arial"/>
          <w:spacing w:val="0"/>
          <w:sz w:val="24"/>
          <w:szCs w:val="24"/>
        </w:rPr>
      </w:pPr>
    </w:p>
    <w:p w:rsidR="00D57553" w:rsidRPr="00D722B4" w:rsidRDefault="00D57553" w:rsidP="00D57553">
      <w:pPr>
        <w:ind w:left="720"/>
        <w:rPr>
          <w:rFonts w:ascii="Arial Narrow" w:hAnsi="Arial Narrow" w:cs="Arial"/>
          <w:b/>
          <w:spacing w:val="0"/>
          <w:sz w:val="24"/>
          <w:szCs w:val="24"/>
        </w:rPr>
      </w:pPr>
      <w:r w:rsidRPr="00D722B4">
        <w:rPr>
          <w:rFonts w:ascii="Arial Narrow" w:hAnsi="Arial Narrow" w:cs="Arial"/>
          <w:b/>
          <w:sz w:val="24"/>
          <w:szCs w:val="24"/>
        </w:rPr>
        <w:t xml:space="preserve">Recoveries </w:t>
      </w:r>
      <w:r w:rsidRPr="00D722B4">
        <w:rPr>
          <w:rFonts w:ascii="Arial Narrow" w:hAnsi="Arial Narrow"/>
          <w:b/>
          <w:sz w:val="24"/>
          <w:szCs w:val="24"/>
        </w:rPr>
        <w:t xml:space="preserve">– (Character 86, </w:t>
      </w:r>
      <w:proofErr w:type="spellStart"/>
      <w:r w:rsidRPr="00D722B4">
        <w:rPr>
          <w:rFonts w:ascii="Arial Narrow" w:hAnsi="Arial Narrow"/>
          <w:b/>
          <w:sz w:val="24"/>
          <w:szCs w:val="24"/>
        </w:rPr>
        <w:t>Subobject</w:t>
      </w:r>
      <w:proofErr w:type="spellEnd"/>
      <w:r w:rsidRPr="00D722B4">
        <w:rPr>
          <w:rFonts w:ascii="Arial Narrow" w:hAnsi="Arial Narrow"/>
          <w:b/>
          <w:sz w:val="24"/>
          <w:szCs w:val="24"/>
        </w:rPr>
        <w:t xml:space="preserve"> 086</w:t>
      </w:r>
      <w:r w:rsidR="00C06ACC">
        <w:rPr>
          <w:rFonts w:ascii="Arial Narrow" w:hAnsi="Arial Narrow"/>
          <w:b/>
          <w:sz w:val="24"/>
          <w:szCs w:val="24"/>
        </w:rPr>
        <w:t xml:space="preserve">RS) </w:t>
      </w:r>
    </w:p>
    <w:p w:rsidR="00D57553" w:rsidRDefault="00D57553" w:rsidP="00D57553">
      <w:pPr>
        <w:rPr>
          <w:rFonts w:ascii="Arial Narrow" w:hAnsi="Arial Narrow" w:cs="Arial"/>
          <w:spacing w:val="0"/>
          <w:sz w:val="24"/>
          <w:szCs w:val="24"/>
        </w:rPr>
      </w:pPr>
      <w:r w:rsidRPr="00D722B4">
        <w:rPr>
          <w:rFonts w:ascii="Arial Narrow" w:hAnsi="Arial Narrow" w:cs="Arial"/>
          <w:spacing w:val="0"/>
          <w:sz w:val="24"/>
          <w:szCs w:val="24"/>
        </w:rPr>
        <w:t>The Department’s projected recovery</w:t>
      </w:r>
      <w:r>
        <w:rPr>
          <w:rFonts w:ascii="Arial Narrow" w:hAnsi="Arial Narrow" w:cs="Arial"/>
          <w:sz w:val="24"/>
          <w:szCs w:val="24"/>
        </w:rPr>
        <w:t>—</w:t>
      </w:r>
      <w:r w:rsidRPr="00D722B4">
        <w:rPr>
          <w:rFonts w:ascii="Arial Narrow" w:hAnsi="Arial Narrow" w:cs="Arial"/>
          <w:spacing w:val="0"/>
          <w:sz w:val="24"/>
          <w:szCs w:val="24"/>
        </w:rPr>
        <w:t>$</w:t>
      </w:r>
      <w:r w:rsidR="00BD66C5">
        <w:rPr>
          <w:rFonts w:ascii="Arial Narrow" w:hAnsi="Arial Narrow" w:cs="Arial"/>
          <w:spacing w:val="0"/>
          <w:sz w:val="24"/>
          <w:szCs w:val="24"/>
        </w:rPr>
        <w:t>50</w:t>
      </w:r>
      <w:r w:rsidRPr="00D722B4">
        <w:rPr>
          <w:rFonts w:ascii="Arial Narrow" w:hAnsi="Arial Narrow" w:cs="Arial"/>
          <w:spacing w:val="0"/>
          <w:sz w:val="24"/>
          <w:szCs w:val="24"/>
        </w:rPr>
        <w:t>,000</w:t>
      </w:r>
      <w:r>
        <w:rPr>
          <w:rFonts w:ascii="Arial Narrow" w:hAnsi="Arial Narrow" w:cs="Arial"/>
          <w:sz w:val="24"/>
          <w:szCs w:val="24"/>
        </w:rPr>
        <w:t>—</w:t>
      </w:r>
      <w:r w:rsidRPr="00D722B4">
        <w:rPr>
          <w:rFonts w:ascii="Arial Narrow" w:hAnsi="Arial Narrow" w:cs="Arial"/>
          <w:spacing w:val="0"/>
          <w:sz w:val="24"/>
          <w:szCs w:val="24"/>
        </w:rPr>
        <w:t xml:space="preserve">is the reimbursement for costs that the Department will incur for conducting the </w:t>
      </w:r>
      <w:r w:rsidR="00C06ACC">
        <w:rPr>
          <w:rFonts w:ascii="Arial Narrow" w:hAnsi="Arial Narrow" w:cs="Arial"/>
          <w:spacing w:val="0"/>
          <w:sz w:val="24"/>
          <w:szCs w:val="24"/>
        </w:rPr>
        <w:t>Retirement Board Election</w:t>
      </w:r>
      <w:r w:rsidRPr="00D722B4">
        <w:rPr>
          <w:rFonts w:ascii="Arial Narrow" w:hAnsi="Arial Narrow" w:cs="Arial"/>
          <w:spacing w:val="0"/>
          <w:sz w:val="24"/>
          <w:szCs w:val="24"/>
        </w:rPr>
        <w:t xml:space="preserve">. </w:t>
      </w:r>
    </w:p>
    <w:p w:rsidR="00020828" w:rsidRDefault="00020828" w:rsidP="00D57553">
      <w:pPr>
        <w:rPr>
          <w:rFonts w:ascii="Arial Narrow" w:hAnsi="Arial Narrow" w:cs="Arial"/>
          <w:spacing w:val="0"/>
          <w:sz w:val="24"/>
          <w:szCs w:val="24"/>
        </w:rPr>
      </w:pPr>
    </w:p>
    <w:p w:rsidR="00020828" w:rsidRPr="00D722B4" w:rsidRDefault="00020828" w:rsidP="00D57553">
      <w:pPr>
        <w:rPr>
          <w:rFonts w:ascii="Arial Narrow" w:hAnsi="Arial Narrow" w:cs="Arial"/>
          <w:spacing w:val="0"/>
          <w:sz w:val="24"/>
          <w:szCs w:val="24"/>
        </w:rPr>
      </w:pPr>
      <w:r>
        <w:rPr>
          <w:rFonts w:ascii="Arial Narrow" w:hAnsi="Arial Narrow" w:cs="Arial"/>
          <w:spacing w:val="0"/>
          <w:sz w:val="24"/>
          <w:szCs w:val="24"/>
        </w:rPr>
        <w:t xml:space="preserve">There is no </w:t>
      </w:r>
      <w:r w:rsidR="00C06ACC" w:rsidRPr="00D722B4">
        <w:rPr>
          <w:rFonts w:ascii="Arial Narrow" w:hAnsi="Arial Narrow" w:cs="Arial"/>
          <w:spacing w:val="0"/>
          <w:sz w:val="24"/>
          <w:szCs w:val="24"/>
        </w:rPr>
        <w:t>Health Service System election</w:t>
      </w:r>
      <w:r w:rsidR="00C06ACC">
        <w:rPr>
          <w:rFonts w:ascii="Arial Narrow" w:hAnsi="Arial Narrow" w:cs="Arial"/>
          <w:spacing w:val="0"/>
          <w:sz w:val="24"/>
          <w:szCs w:val="24"/>
        </w:rPr>
        <w:t xml:space="preserve"> </w:t>
      </w:r>
      <w:r>
        <w:rPr>
          <w:rFonts w:ascii="Arial Narrow" w:hAnsi="Arial Narrow" w:cs="Arial"/>
          <w:spacing w:val="0"/>
          <w:sz w:val="24"/>
          <w:szCs w:val="24"/>
        </w:rPr>
        <w:t xml:space="preserve">scheduled in FY 2015-16. </w:t>
      </w:r>
    </w:p>
    <w:p w:rsidR="00D57553" w:rsidRPr="00D722B4" w:rsidRDefault="00D57553" w:rsidP="00D57553">
      <w:pPr>
        <w:rPr>
          <w:rFonts w:ascii="Arial Narrow" w:hAnsi="Arial Narrow" w:cs="Arial"/>
          <w:b/>
          <w:spacing w:val="0"/>
          <w:sz w:val="24"/>
          <w:szCs w:val="24"/>
          <w:u w:val="single"/>
        </w:rPr>
      </w:pPr>
    </w:p>
    <w:p w:rsidR="00D57553" w:rsidRPr="00D722B4" w:rsidRDefault="00D57553" w:rsidP="00D57553">
      <w:pPr>
        <w:pStyle w:val="ListParagraph"/>
        <w:numPr>
          <w:ilvl w:val="0"/>
          <w:numId w:val="11"/>
        </w:numPr>
        <w:rPr>
          <w:rFonts w:ascii="Arial Narrow" w:hAnsi="Arial Narrow" w:cs="Arial"/>
          <w:b/>
          <w:sz w:val="24"/>
          <w:szCs w:val="24"/>
          <w:u w:val="single"/>
        </w:rPr>
      </w:pPr>
      <w:r w:rsidRPr="00D722B4">
        <w:rPr>
          <w:rFonts w:ascii="Arial Narrow" w:hAnsi="Arial Narrow" w:cs="Arial"/>
          <w:b/>
          <w:sz w:val="24"/>
          <w:szCs w:val="24"/>
          <w:u w:val="single"/>
        </w:rPr>
        <w:t>Year Two: FY 2016</w:t>
      </w:r>
      <w:r w:rsidRPr="00D722B4">
        <w:rPr>
          <w:rFonts w:ascii="Arial Narrow" w:hAnsi="Arial Narrow" w:cs="Arial"/>
          <w:sz w:val="24"/>
          <w:szCs w:val="24"/>
          <w:u w:val="single"/>
        </w:rPr>
        <w:t>–</w:t>
      </w:r>
      <w:r w:rsidRPr="00D722B4">
        <w:rPr>
          <w:rFonts w:ascii="Arial Narrow" w:hAnsi="Arial Narrow" w:cs="Arial"/>
          <w:b/>
          <w:sz w:val="24"/>
          <w:szCs w:val="24"/>
          <w:u w:val="single"/>
        </w:rPr>
        <w:t>17</w:t>
      </w:r>
    </w:p>
    <w:p w:rsidR="00D57553" w:rsidRPr="00D722B4" w:rsidRDefault="00D57553" w:rsidP="00D57553">
      <w:pPr>
        <w:autoSpaceDE w:val="0"/>
        <w:autoSpaceDN w:val="0"/>
        <w:adjustRightInd w:val="0"/>
        <w:rPr>
          <w:rFonts w:ascii="Arial Narrow" w:hAnsi="Arial Narrow" w:cs="Arial"/>
          <w:spacing w:val="0"/>
          <w:sz w:val="24"/>
          <w:szCs w:val="24"/>
        </w:rPr>
      </w:pPr>
      <w:r w:rsidRPr="00D722B4">
        <w:rPr>
          <w:rFonts w:ascii="Arial Narrow" w:hAnsi="Arial Narrow" w:cs="Arial"/>
          <w:sz w:val="24"/>
          <w:szCs w:val="24"/>
        </w:rPr>
        <w:t>The Department’s proposed $14,14</w:t>
      </w:r>
      <w:r w:rsidR="00BD66C5">
        <w:rPr>
          <w:rFonts w:ascii="Arial Narrow" w:hAnsi="Arial Narrow" w:cs="Arial"/>
          <w:sz w:val="24"/>
          <w:szCs w:val="24"/>
        </w:rPr>
        <w:t>1</w:t>
      </w:r>
      <w:r w:rsidRPr="00D722B4">
        <w:rPr>
          <w:rFonts w:ascii="Arial Narrow" w:hAnsi="Arial Narrow" w:cs="Arial"/>
          <w:sz w:val="24"/>
          <w:szCs w:val="24"/>
        </w:rPr>
        <w:t xml:space="preserve">,699 budget </w:t>
      </w:r>
      <w:r w:rsidRPr="00D722B4">
        <w:rPr>
          <w:rFonts w:ascii="Arial Narrow" w:hAnsi="Arial Narrow" w:cs="Arial"/>
          <w:spacing w:val="0"/>
          <w:sz w:val="24"/>
          <w:szCs w:val="24"/>
        </w:rPr>
        <w:t>assumes one scheduled election in FY 2016-17</w:t>
      </w:r>
      <w:r>
        <w:rPr>
          <w:rFonts w:ascii="Arial Narrow" w:hAnsi="Arial Narrow" w:cs="Arial"/>
          <w:spacing w:val="0"/>
          <w:sz w:val="24"/>
          <w:szCs w:val="24"/>
        </w:rPr>
        <w:t xml:space="preserve">: the </w:t>
      </w:r>
      <w:r w:rsidRPr="00D722B4">
        <w:rPr>
          <w:rFonts w:ascii="Arial Narrow" w:hAnsi="Arial Narrow" w:cs="Arial"/>
          <w:spacing w:val="0"/>
          <w:sz w:val="24"/>
          <w:szCs w:val="24"/>
        </w:rPr>
        <w:t>November 2016 Consolidated General Election.</w:t>
      </w:r>
    </w:p>
    <w:p w:rsidR="00D57553" w:rsidRPr="00D722B4" w:rsidRDefault="00D57553" w:rsidP="00D57553">
      <w:pPr>
        <w:autoSpaceDE w:val="0"/>
        <w:autoSpaceDN w:val="0"/>
        <w:adjustRightInd w:val="0"/>
        <w:rPr>
          <w:rFonts w:ascii="Arial Narrow" w:hAnsi="Arial Narrow" w:cs="Arial"/>
          <w:spacing w:val="0"/>
          <w:sz w:val="24"/>
          <w:szCs w:val="24"/>
        </w:rPr>
      </w:pPr>
    </w:p>
    <w:p w:rsidR="00D57553" w:rsidRPr="00D722B4" w:rsidRDefault="00D57553" w:rsidP="00D57553">
      <w:pPr>
        <w:rPr>
          <w:rFonts w:ascii="Arial Narrow" w:hAnsi="Arial Narrow"/>
          <w:sz w:val="24"/>
          <w:szCs w:val="24"/>
        </w:rPr>
      </w:pPr>
      <w:r w:rsidRPr="00D722B4">
        <w:rPr>
          <w:rFonts w:ascii="Arial Narrow" w:hAnsi="Arial Narrow" w:cs="Arial"/>
          <w:sz w:val="24"/>
          <w:szCs w:val="24"/>
        </w:rPr>
        <w:t xml:space="preserve">An expense that the City is likely to incur in FY 2016-17 </w:t>
      </w:r>
      <w:r>
        <w:rPr>
          <w:rFonts w:ascii="Arial Narrow" w:hAnsi="Arial Narrow" w:cs="Arial"/>
          <w:sz w:val="24"/>
          <w:szCs w:val="24"/>
        </w:rPr>
        <w:t xml:space="preserve">but </w:t>
      </w:r>
      <w:r w:rsidRPr="00D722B4">
        <w:rPr>
          <w:rFonts w:ascii="Arial Narrow" w:hAnsi="Arial Narrow" w:cs="Arial"/>
          <w:sz w:val="24"/>
          <w:szCs w:val="24"/>
        </w:rPr>
        <w:t>which is not included in the D</w:t>
      </w:r>
      <w:r w:rsidRPr="00D722B4">
        <w:rPr>
          <w:rFonts w:ascii="Arial Narrow" w:hAnsi="Arial Narrow" w:cs="Arial"/>
          <w:spacing w:val="0"/>
          <w:sz w:val="24"/>
          <w:szCs w:val="24"/>
        </w:rPr>
        <w:t xml:space="preserve">epartment’s proposed budget is a potential cost of </w:t>
      </w:r>
      <w:r>
        <w:rPr>
          <w:rFonts w:ascii="Arial Narrow" w:hAnsi="Arial Narrow" w:cs="Arial"/>
          <w:spacing w:val="0"/>
          <w:sz w:val="24"/>
          <w:szCs w:val="24"/>
        </w:rPr>
        <w:t xml:space="preserve">a </w:t>
      </w:r>
      <w:r w:rsidRPr="00D722B4">
        <w:rPr>
          <w:rFonts w:ascii="Arial Narrow" w:hAnsi="Arial Narrow" w:cs="Arial"/>
          <w:spacing w:val="0"/>
          <w:sz w:val="24"/>
          <w:szCs w:val="24"/>
        </w:rPr>
        <w:t>voting equipment and services contract</w:t>
      </w:r>
      <w:r>
        <w:rPr>
          <w:rFonts w:ascii="Arial Narrow" w:hAnsi="Arial Narrow" w:cs="Arial"/>
          <w:sz w:val="24"/>
          <w:szCs w:val="24"/>
        </w:rPr>
        <w:t xml:space="preserve">; </w:t>
      </w:r>
      <w:r w:rsidRPr="00D722B4">
        <w:rPr>
          <w:rFonts w:ascii="Arial Narrow" w:hAnsi="Arial Narrow" w:cs="Arial"/>
          <w:spacing w:val="0"/>
          <w:sz w:val="24"/>
          <w:szCs w:val="24"/>
        </w:rPr>
        <w:t>these costs are unknown at this time and may depend on policy decisions by the City. The Department plans to issue a Request for Information in FY 2014-15, followed by a Request for Proposal in FY 2015-16, seeking information and bids for voting equipment and services</w:t>
      </w:r>
      <w:r>
        <w:rPr>
          <w:rFonts w:ascii="Arial Narrow" w:hAnsi="Arial Narrow" w:cs="Arial"/>
          <w:spacing w:val="0"/>
          <w:sz w:val="24"/>
          <w:szCs w:val="24"/>
        </w:rPr>
        <w:t>. The Department</w:t>
      </w:r>
      <w:r w:rsidRPr="00D722B4">
        <w:rPr>
          <w:rFonts w:ascii="Arial Narrow" w:hAnsi="Arial Narrow" w:cs="Arial"/>
          <w:spacing w:val="0"/>
          <w:sz w:val="24"/>
          <w:szCs w:val="24"/>
        </w:rPr>
        <w:t xml:space="preserve"> will revise its budget </w:t>
      </w:r>
      <w:r w:rsidRPr="00D722B4">
        <w:rPr>
          <w:rFonts w:ascii="Arial Narrow" w:hAnsi="Arial Narrow" w:cs="Arial"/>
          <w:sz w:val="24"/>
          <w:szCs w:val="24"/>
        </w:rPr>
        <w:t xml:space="preserve">for FY 2016-17 accordingly during next year’s budget process. </w:t>
      </w:r>
    </w:p>
    <w:p w:rsidR="00D57553" w:rsidRPr="00D722B4" w:rsidRDefault="00D57553" w:rsidP="00D57553">
      <w:pPr>
        <w:rPr>
          <w:rFonts w:ascii="Arial Narrow" w:hAnsi="Arial Narrow" w:cs="Arial"/>
          <w:spacing w:val="0"/>
          <w:sz w:val="24"/>
          <w:szCs w:val="24"/>
        </w:rPr>
      </w:pPr>
      <w:r w:rsidRPr="00D722B4">
        <w:rPr>
          <w:rFonts w:ascii="Arial Narrow" w:hAnsi="Arial Narrow" w:cs="Arial"/>
          <w:spacing w:val="0"/>
          <w:sz w:val="24"/>
          <w:szCs w:val="24"/>
        </w:rPr>
        <w:t xml:space="preserve">As background, the City entered into a contract with Sequoia Voting Systems, Inc., in December 2007 for the purchase of voting equipment and services. The original contract term was four years, with two one-year extension options that were exercised by the City in 2011. In December 2013, the City extended the contract an additional three years with Dominion Voting Services, Inc., </w:t>
      </w:r>
      <w:r>
        <w:rPr>
          <w:rFonts w:ascii="Arial Narrow" w:hAnsi="Arial Narrow" w:cs="Arial"/>
          <w:spacing w:val="0"/>
          <w:sz w:val="24"/>
          <w:szCs w:val="24"/>
        </w:rPr>
        <w:t>which</w:t>
      </w:r>
      <w:r w:rsidRPr="00D722B4">
        <w:rPr>
          <w:rFonts w:ascii="Arial Narrow" w:hAnsi="Arial Narrow" w:cs="Arial"/>
          <w:spacing w:val="0"/>
          <w:sz w:val="24"/>
          <w:szCs w:val="24"/>
        </w:rPr>
        <w:t xml:space="preserve"> </w:t>
      </w:r>
      <w:r>
        <w:rPr>
          <w:rFonts w:ascii="Arial Narrow" w:hAnsi="Arial Narrow" w:cs="Arial"/>
          <w:spacing w:val="0"/>
          <w:sz w:val="24"/>
          <w:szCs w:val="24"/>
        </w:rPr>
        <w:t xml:space="preserve">had </w:t>
      </w:r>
      <w:r w:rsidRPr="00D722B4">
        <w:rPr>
          <w:rFonts w:ascii="Arial Narrow" w:hAnsi="Arial Narrow" w:cs="Arial"/>
          <w:spacing w:val="0"/>
          <w:sz w:val="24"/>
          <w:szCs w:val="24"/>
        </w:rPr>
        <w:t xml:space="preserve">acquired Sequoia in 2010. This extension is scheduled to expire on December 11, 2016, allowing the City to consider policy decisions and potential costs related to </w:t>
      </w:r>
      <w:r>
        <w:rPr>
          <w:rFonts w:ascii="Arial Narrow" w:hAnsi="Arial Narrow" w:cs="Arial"/>
          <w:spacing w:val="0"/>
          <w:sz w:val="24"/>
          <w:szCs w:val="24"/>
        </w:rPr>
        <w:t>San Francisco’s</w:t>
      </w:r>
      <w:r w:rsidRPr="00D722B4">
        <w:rPr>
          <w:rFonts w:ascii="Arial Narrow" w:hAnsi="Arial Narrow" w:cs="Arial"/>
          <w:spacing w:val="0"/>
          <w:sz w:val="24"/>
          <w:szCs w:val="24"/>
        </w:rPr>
        <w:t xml:space="preserve"> next voting system. </w:t>
      </w:r>
    </w:p>
    <w:p w:rsidR="00D57553" w:rsidRPr="00D722B4" w:rsidRDefault="00D57553" w:rsidP="00D57553">
      <w:pPr>
        <w:rPr>
          <w:rFonts w:ascii="Arial Narrow" w:hAnsi="Arial Narrow" w:cs="Arial"/>
          <w:spacing w:val="0"/>
          <w:sz w:val="24"/>
          <w:szCs w:val="24"/>
        </w:rPr>
      </w:pPr>
    </w:p>
    <w:p w:rsidR="00D57553" w:rsidRPr="00D722B4" w:rsidRDefault="00D57553" w:rsidP="00D57553">
      <w:pPr>
        <w:pStyle w:val="ListParagraph"/>
        <w:numPr>
          <w:ilvl w:val="1"/>
          <w:numId w:val="11"/>
        </w:numPr>
        <w:autoSpaceDE w:val="0"/>
        <w:autoSpaceDN w:val="0"/>
        <w:adjustRightInd w:val="0"/>
        <w:rPr>
          <w:rFonts w:ascii="Arial Narrow" w:hAnsi="Arial Narrow" w:cs="Arial"/>
          <w:b/>
          <w:sz w:val="24"/>
          <w:szCs w:val="24"/>
        </w:rPr>
      </w:pPr>
      <w:r w:rsidRPr="00D722B4">
        <w:rPr>
          <w:rFonts w:ascii="Arial Narrow" w:hAnsi="Arial Narrow" w:cs="Arial"/>
          <w:b/>
          <w:sz w:val="24"/>
          <w:szCs w:val="24"/>
        </w:rPr>
        <w:t>Budget Form 2B</w:t>
      </w:r>
      <w:r>
        <w:rPr>
          <w:rFonts w:ascii="Arial Narrow" w:hAnsi="Arial Narrow" w:cs="Arial"/>
          <w:b/>
          <w:sz w:val="24"/>
          <w:szCs w:val="24"/>
        </w:rPr>
        <w:t>:</w:t>
      </w:r>
      <w:r w:rsidRPr="00D722B4">
        <w:rPr>
          <w:rFonts w:ascii="Arial Narrow" w:hAnsi="Arial Narrow" w:cs="Arial"/>
          <w:b/>
          <w:sz w:val="24"/>
          <w:szCs w:val="24"/>
        </w:rPr>
        <w:t xml:space="preserve"> Revenues</w:t>
      </w:r>
    </w:p>
    <w:p w:rsidR="00D57553" w:rsidRPr="00D722B4" w:rsidRDefault="00D57553" w:rsidP="00D57553">
      <w:pPr>
        <w:rPr>
          <w:rFonts w:ascii="Arial Narrow" w:hAnsi="Arial Narrow"/>
          <w:sz w:val="24"/>
          <w:szCs w:val="24"/>
        </w:rPr>
      </w:pPr>
      <w:r w:rsidRPr="00D722B4">
        <w:rPr>
          <w:rFonts w:ascii="Arial Narrow" w:hAnsi="Arial Narrow"/>
          <w:sz w:val="24"/>
          <w:szCs w:val="24"/>
        </w:rPr>
        <w:lastRenderedPageBreak/>
        <w:t>The Department's projected revenue</w:t>
      </w:r>
      <w:r>
        <w:rPr>
          <w:rFonts w:ascii="Arial Narrow" w:hAnsi="Arial Narrow"/>
          <w:sz w:val="24"/>
          <w:szCs w:val="24"/>
        </w:rPr>
        <w:t xml:space="preserve"> for the year</w:t>
      </w:r>
      <w:r>
        <w:rPr>
          <w:rFonts w:ascii="Arial Narrow" w:hAnsi="Arial Narrow" w:cs="Arial"/>
          <w:sz w:val="24"/>
          <w:szCs w:val="24"/>
        </w:rPr>
        <w:t>—</w:t>
      </w:r>
      <w:r w:rsidRPr="00D722B4">
        <w:rPr>
          <w:rFonts w:ascii="Arial Narrow" w:hAnsi="Arial Narrow" w:cs="Arial"/>
          <w:spacing w:val="0"/>
          <w:sz w:val="24"/>
          <w:szCs w:val="24"/>
        </w:rPr>
        <w:t>$580,057</w:t>
      </w:r>
      <w:r>
        <w:rPr>
          <w:rFonts w:ascii="Arial Narrow" w:hAnsi="Arial Narrow" w:cs="Arial"/>
          <w:sz w:val="24"/>
          <w:szCs w:val="24"/>
        </w:rPr>
        <w:t>—</w:t>
      </w:r>
      <w:r w:rsidRPr="00D722B4">
        <w:rPr>
          <w:rFonts w:ascii="Arial Narrow" w:hAnsi="Arial Narrow" w:cs="Arial"/>
          <w:spacing w:val="0"/>
          <w:sz w:val="24"/>
          <w:szCs w:val="24"/>
        </w:rPr>
        <w:t xml:space="preserve">is </w:t>
      </w:r>
      <w:r w:rsidRPr="00D722B4">
        <w:rPr>
          <w:rFonts w:ascii="Arial Narrow" w:hAnsi="Arial Narrow"/>
          <w:sz w:val="24"/>
          <w:szCs w:val="24"/>
        </w:rPr>
        <w:t>$193,073</w:t>
      </w:r>
      <w:r>
        <w:rPr>
          <w:rFonts w:ascii="Arial Narrow" w:hAnsi="Arial Narrow"/>
          <w:sz w:val="24"/>
          <w:szCs w:val="24"/>
        </w:rPr>
        <w:t>,</w:t>
      </w:r>
      <w:r w:rsidRPr="00D722B4">
        <w:rPr>
          <w:rFonts w:ascii="Arial Narrow" w:hAnsi="Arial Narrow"/>
          <w:sz w:val="24"/>
          <w:szCs w:val="24"/>
        </w:rPr>
        <w:t xml:space="preserve"> or 50%</w:t>
      </w:r>
      <w:r>
        <w:rPr>
          <w:rFonts w:ascii="Arial Narrow" w:hAnsi="Arial Narrow"/>
          <w:sz w:val="24"/>
          <w:szCs w:val="24"/>
        </w:rPr>
        <w:t>,</w:t>
      </w:r>
      <w:r w:rsidRPr="00D722B4">
        <w:rPr>
          <w:rFonts w:ascii="Arial Narrow" w:hAnsi="Arial Narrow"/>
          <w:sz w:val="24"/>
          <w:szCs w:val="24"/>
        </w:rPr>
        <w:t xml:space="preserve"> higher than the FY 2015-16 revenue. </w:t>
      </w:r>
      <w:r>
        <w:rPr>
          <w:rFonts w:ascii="Arial Narrow" w:hAnsi="Arial Narrow"/>
          <w:sz w:val="24"/>
          <w:szCs w:val="24"/>
        </w:rPr>
        <w:t>W</w:t>
      </w:r>
      <w:r w:rsidRPr="00D722B4">
        <w:rPr>
          <w:rFonts w:ascii="Arial Narrow" w:hAnsi="Arial Narrow"/>
          <w:sz w:val="24"/>
          <w:szCs w:val="24"/>
        </w:rPr>
        <w:t>ith only one election scheduled, revenues from candidate filing</w:t>
      </w:r>
      <w:r>
        <w:rPr>
          <w:rFonts w:ascii="Arial Narrow" w:hAnsi="Arial Narrow"/>
          <w:sz w:val="24"/>
          <w:szCs w:val="24"/>
        </w:rPr>
        <w:t>, statement,</w:t>
      </w:r>
      <w:r w:rsidRPr="00D722B4">
        <w:rPr>
          <w:rFonts w:ascii="Arial Narrow" w:hAnsi="Arial Narrow"/>
          <w:sz w:val="24"/>
          <w:szCs w:val="24"/>
        </w:rPr>
        <w:t xml:space="preserve"> and ballot argument fees are projected to decrease; </w:t>
      </w:r>
      <w:r>
        <w:rPr>
          <w:rFonts w:ascii="Arial Narrow" w:hAnsi="Arial Narrow"/>
          <w:sz w:val="24"/>
          <w:szCs w:val="24"/>
        </w:rPr>
        <w:t xml:space="preserve">however, </w:t>
      </w:r>
      <w:r w:rsidRPr="00D722B4">
        <w:rPr>
          <w:rFonts w:ascii="Arial Narrow" w:hAnsi="Arial Narrow"/>
          <w:sz w:val="24"/>
          <w:szCs w:val="24"/>
        </w:rPr>
        <w:t xml:space="preserve">these reductions will be offset by revenues from </w:t>
      </w:r>
      <w:r>
        <w:rPr>
          <w:rFonts w:ascii="Arial Narrow" w:hAnsi="Arial Narrow"/>
          <w:sz w:val="24"/>
          <w:szCs w:val="24"/>
        </w:rPr>
        <w:t xml:space="preserve">expected </w:t>
      </w:r>
      <w:r w:rsidRPr="00D722B4">
        <w:rPr>
          <w:rFonts w:ascii="Arial Narrow" w:hAnsi="Arial Narrow"/>
          <w:sz w:val="24"/>
          <w:szCs w:val="24"/>
        </w:rPr>
        <w:t>FY 2016-17</w:t>
      </w:r>
      <w:r>
        <w:rPr>
          <w:rFonts w:ascii="Arial Narrow" w:hAnsi="Arial Narrow"/>
          <w:sz w:val="24"/>
          <w:szCs w:val="24"/>
        </w:rPr>
        <w:t xml:space="preserve"> </w:t>
      </w:r>
      <w:r w:rsidRPr="00D722B4">
        <w:rPr>
          <w:rFonts w:ascii="Arial Narrow" w:hAnsi="Arial Narrow"/>
          <w:sz w:val="24"/>
          <w:szCs w:val="24"/>
        </w:rPr>
        <w:t xml:space="preserve">elections </w:t>
      </w:r>
      <w:r>
        <w:rPr>
          <w:rFonts w:ascii="Arial Narrow" w:hAnsi="Arial Narrow"/>
          <w:sz w:val="24"/>
          <w:szCs w:val="24"/>
        </w:rPr>
        <w:t>for</w:t>
      </w:r>
      <w:r w:rsidRPr="00D722B4">
        <w:rPr>
          <w:rFonts w:ascii="Arial Narrow" w:hAnsi="Arial Narrow"/>
          <w:sz w:val="24"/>
          <w:szCs w:val="24"/>
        </w:rPr>
        <w:t xml:space="preserve"> </w:t>
      </w:r>
      <w:r>
        <w:rPr>
          <w:rFonts w:ascii="Arial Narrow" w:hAnsi="Arial Narrow"/>
          <w:sz w:val="24"/>
          <w:szCs w:val="24"/>
        </w:rPr>
        <w:t xml:space="preserve">the </w:t>
      </w:r>
      <w:r w:rsidRPr="00D722B4">
        <w:rPr>
          <w:rFonts w:ascii="Arial Narrow" w:hAnsi="Arial Narrow"/>
          <w:sz w:val="24"/>
          <w:szCs w:val="24"/>
        </w:rPr>
        <w:t xml:space="preserve">Community College District, BART, and San Francisco Unified School District. </w:t>
      </w:r>
    </w:p>
    <w:p w:rsidR="00D57553" w:rsidRPr="00D722B4" w:rsidRDefault="00D57553" w:rsidP="00D57553">
      <w:pPr>
        <w:rPr>
          <w:rFonts w:ascii="Arial Narrow" w:hAnsi="Arial Narrow"/>
          <w:sz w:val="24"/>
          <w:szCs w:val="24"/>
        </w:rPr>
      </w:pPr>
    </w:p>
    <w:p w:rsidR="00D57553" w:rsidRPr="00D722B4" w:rsidRDefault="00D57553" w:rsidP="00D57553">
      <w:pPr>
        <w:pStyle w:val="NoSpacing"/>
        <w:rPr>
          <w:rFonts w:ascii="Arial Narrow" w:hAnsi="Arial Narrow" w:cs="Arial"/>
        </w:rPr>
      </w:pPr>
      <w:r w:rsidRPr="00D722B4">
        <w:rPr>
          <w:rFonts w:ascii="Arial Narrow" w:hAnsi="Arial Narrow" w:cs="Arial"/>
        </w:rPr>
        <w:t>The projected revenues, accompanied by the description of fees, the amounts, and the authorizing code citations</w:t>
      </w:r>
      <w:r>
        <w:rPr>
          <w:rFonts w:ascii="Arial Narrow" w:hAnsi="Arial Narrow" w:cs="Arial"/>
        </w:rPr>
        <w:t>,</w:t>
      </w:r>
      <w:r w:rsidRPr="00D722B4">
        <w:rPr>
          <w:rFonts w:ascii="Arial Narrow" w:hAnsi="Arial Narrow" w:cs="Arial"/>
        </w:rPr>
        <w:t xml:space="preserve"> are presented on Form 2B of the enclosed budget packet. </w:t>
      </w:r>
    </w:p>
    <w:p w:rsidR="00D57553" w:rsidRPr="00D722B4" w:rsidRDefault="00D57553" w:rsidP="00D57553">
      <w:pPr>
        <w:rPr>
          <w:rFonts w:ascii="Arial Narrow" w:hAnsi="Arial Narrow" w:cs="Arial"/>
          <w:spacing w:val="0"/>
          <w:sz w:val="24"/>
          <w:szCs w:val="24"/>
        </w:rPr>
      </w:pPr>
    </w:p>
    <w:p w:rsidR="00D57553" w:rsidRPr="00D722B4" w:rsidRDefault="00D57553" w:rsidP="00D57553">
      <w:pPr>
        <w:pStyle w:val="ListParagraph"/>
        <w:numPr>
          <w:ilvl w:val="1"/>
          <w:numId w:val="11"/>
        </w:numPr>
        <w:autoSpaceDE w:val="0"/>
        <w:autoSpaceDN w:val="0"/>
        <w:adjustRightInd w:val="0"/>
        <w:rPr>
          <w:rFonts w:ascii="Arial Narrow" w:hAnsi="Arial Narrow" w:cs="Arial"/>
          <w:b/>
          <w:sz w:val="24"/>
          <w:szCs w:val="24"/>
        </w:rPr>
      </w:pPr>
      <w:r w:rsidRPr="00D722B4">
        <w:rPr>
          <w:rFonts w:ascii="Arial Narrow" w:hAnsi="Arial Narrow" w:cs="Arial"/>
          <w:b/>
          <w:sz w:val="24"/>
          <w:szCs w:val="24"/>
        </w:rPr>
        <w:t>Budget Form 3A</w:t>
      </w:r>
      <w:r>
        <w:rPr>
          <w:rFonts w:ascii="Arial Narrow" w:hAnsi="Arial Narrow" w:cs="Arial"/>
          <w:b/>
          <w:sz w:val="24"/>
          <w:szCs w:val="24"/>
        </w:rPr>
        <w:t>:</w:t>
      </w:r>
      <w:r w:rsidRPr="00D722B4">
        <w:rPr>
          <w:rFonts w:ascii="Arial Narrow" w:hAnsi="Arial Narrow" w:cs="Arial"/>
          <w:b/>
          <w:sz w:val="24"/>
          <w:szCs w:val="24"/>
        </w:rPr>
        <w:t xml:space="preserve"> Expenditures  </w:t>
      </w:r>
    </w:p>
    <w:p w:rsidR="00D57553" w:rsidRPr="00D722B4" w:rsidRDefault="00D57553" w:rsidP="00D57553">
      <w:pPr>
        <w:rPr>
          <w:rFonts w:ascii="Arial Narrow" w:hAnsi="Arial Narrow"/>
        </w:rPr>
      </w:pPr>
      <w:r w:rsidRPr="00D722B4">
        <w:rPr>
          <w:rFonts w:ascii="Arial Narrow" w:hAnsi="Arial Narrow" w:cs="Arial"/>
          <w:spacing w:val="0"/>
          <w:sz w:val="24"/>
          <w:szCs w:val="24"/>
        </w:rPr>
        <w:t xml:space="preserve">The </w:t>
      </w:r>
      <w:r w:rsidR="00BD66C5">
        <w:rPr>
          <w:rFonts w:ascii="Arial Narrow" w:hAnsi="Arial Narrow" w:cs="Arial"/>
          <w:sz w:val="24"/>
          <w:szCs w:val="24"/>
        </w:rPr>
        <w:t xml:space="preserve">FY 2016-17 </w:t>
      </w:r>
      <w:proofErr w:type="gramStart"/>
      <w:r w:rsidR="00BD66C5">
        <w:rPr>
          <w:rFonts w:ascii="Arial Narrow" w:hAnsi="Arial Narrow" w:cs="Arial"/>
          <w:sz w:val="24"/>
          <w:szCs w:val="24"/>
        </w:rPr>
        <w:t>budget</w:t>
      </w:r>
      <w:proofErr w:type="gramEnd"/>
      <w:r w:rsidR="00BD66C5">
        <w:rPr>
          <w:rFonts w:ascii="Arial Narrow" w:hAnsi="Arial Narrow" w:cs="Arial"/>
          <w:sz w:val="24"/>
          <w:szCs w:val="24"/>
        </w:rPr>
        <w:t xml:space="preserve"> is $7,427</w:t>
      </w:r>
      <w:r w:rsidRPr="00D722B4">
        <w:rPr>
          <w:rFonts w:ascii="Arial Narrow" w:hAnsi="Arial Narrow" w:cs="Arial"/>
          <w:sz w:val="24"/>
          <w:szCs w:val="24"/>
        </w:rPr>
        <w:t>,335</w:t>
      </w:r>
      <w:r>
        <w:rPr>
          <w:rFonts w:ascii="Arial Narrow" w:hAnsi="Arial Narrow" w:cs="Arial"/>
          <w:sz w:val="24"/>
          <w:szCs w:val="24"/>
        </w:rPr>
        <w:t>,</w:t>
      </w:r>
      <w:r w:rsidRPr="00D722B4">
        <w:rPr>
          <w:rFonts w:ascii="Arial Narrow" w:hAnsi="Arial Narrow" w:cs="Arial"/>
          <w:sz w:val="24"/>
          <w:szCs w:val="24"/>
        </w:rPr>
        <w:t xml:space="preserve"> or 34%</w:t>
      </w:r>
      <w:r>
        <w:rPr>
          <w:rFonts w:ascii="Arial Narrow" w:hAnsi="Arial Narrow" w:cs="Arial"/>
          <w:sz w:val="24"/>
          <w:szCs w:val="24"/>
        </w:rPr>
        <w:t>,</w:t>
      </w:r>
      <w:r w:rsidRPr="00D722B4">
        <w:rPr>
          <w:rFonts w:ascii="Arial Narrow" w:hAnsi="Arial Narrow" w:cs="Arial"/>
          <w:sz w:val="24"/>
          <w:szCs w:val="24"/>
        </w:rPr>
        <w:t xml:space="preserve"> lower than the FY 2015-16 budget due to the one </w:t>
      </w:r>
      <w:r>
        <w:rPr>
          <w:rFonts w:ascii="Arial Narrow" w:hAnsi="Arial Narrow" w:cs="Arial"/>
          <w:sz w:val="24"/>
          <w:szCs w:val="24"/>
        </w:rPr>
        <w:t xml:space="preserve">scheduled </w:t>
      </w:r>
      <w:r w:rsidRPr="00D722B4">
        <w:rPr>
          <w:rFonts w:ascii="Arial Narrow" w:hAnsi="Arial Narrow" w:cs="Arial"/>
          <w:sz w:val="24"/>
          <w:szCs w:val="24"/>
        </w:rPr>
        <w:t>election in FY 2016-17</w:t>
      </w:r>
      <w:r>
        <w:rPr>
          <w:rFonts w:ascii="Arial Narrow" w:hAnsi="Arial Narrow" w:cs="Arial"/>
          <w:sz w:val="24"/>
          <w:szCs w:val="24"/>
        </w:rPr>
        <w:t>,</w:t>
      </w:r>
      <w:r w:rsidRPr="00D722B4">
        <w:rPr>
          <w:rFonts w:ascii="Arial Narrow" w:hAnsi="Arial Narrow" w:cs="Arial"/>
          <w:sz w:val="24"/>
          <w:szCs w:val="24"/>
        </w:rPr>
        <w:t xml:space="preserve"> compared to two elections in</w:t>
      </w:r>
      <w:r w:rsidR="00C06ACC">
        <w:rPr>
          <w:rFonts w:ascii="Arial Narrow" w:hAnsi="Arial Narrow" w:cs="Arial"/>
          <w:sz w:val="24"/>
          <w:szCs w:val="24"/>
        </w:rPr>
        <w:t xml:space="preserve"> FY 2015-16. Nevertheless, the </w:t>
      </w:r>
      <w:r w:rsidRPr="00D722B4">
        <w:rPr>
          <w:rFonts w:ascii="Arial Narrow" w:hAnsi="Arial Narrow" w:cs="Arial"/>
          <w:sz w:val="24"/>
          <w:szCs w:val="24"/>
        </w:rPr>
        <w:t>proposed budget includes a relatively higher level of proposed staff and non-personnel expenditures, as higher voter turnout is anticipated in the November 2016 Presidential Election than in either of the two elections scheduled in FY 2015-16.</w:t>
      </w:r>
      <w:r w:rsidRPr="00D722B4">
        <w:rPr>
          <w:rFonts w:ascii="Arial Narrow" w:hAnsi="Arial Narrow"/>
        </w:rPr>
        <w:t xml:space="preserve"> </w:t>
      </w:r>
    </w:p>
    <w:p w:rsidR="00D57553" w:rsidRPr="00D722B4" w:rsidRDefault="00D57553" w:rsidP="00D57553">
      <w:pPr>
        <w:rPr>
          <w:rFonts w:ascii="Arial Narrow" w:hAnsi="Arial Narrow" w:cs="Arial"/>
          <w:spacing w:val="0"/>
          <w:sz w:val="24"/>
          <w:szCs w:val="24"/>
        </w:rPr>
      </w:pPr>
    </w:p>
    <w:p w:rsidR="00D57553" w:rsidRPr="00D722B4" w:rsidRDefault="00D57553" w:rsidP="00D57553">
      <w:pPr>
        <w:rPr>
          <w:rFonts w:ascii="Arial Narrow" w:hAnsi="Arial Narrow" w:cs="Arial"/>
          <w:spacing w:val="0"/>
          <w:sz w:val="24"/>
          <w:szCs w:val="24"/>
        </w:rPr>
      </w:pPr>
      <w:r w:rsidRPr="00D722B4">
        <w:rPr>
          <w:rFonts w:ascii="Arial Narrow" w:hAnsi="Arial Narrow" w:cs="Arial"/>
          <w:spacing w:val="0"/>
          <w:sz w:val="24"/>
          <w:szCs w:val="24"/>
        </w:rPr>
        <w:t xml:space="preserve">The projected expenses budgeted under each object are presented on form 3A of the enclosed budget packet and are consistent with the descriptions provided earlier in this document in </w:t>
      </w:r>
      <w:r>
        <w:rPr>
          <w:rFonts w:ascii="Arial Narrow" w:hAnsi="Arial Narrow" w:cs="Arial"/>
          <w:spacing w:val="0"/>
          <w:sz w:val="24"/>
          <w:szCs w:val="24"/>
        </w:rPr>
        <w:t>the “</w:t>
      </w:r>
      <w:r w:rsidRPr="00D722B4">
        <w:rPr>
          <w:rFonts w:ascii="Arial Narrow" w:hAnsi="Arial Narrow" w:cs="Arial"/>
          <w:spacing w:val="0"/>
          <w:sz w:val="24"/>
          <w:szCs w:val="24"/>
        </w:rPr>
        <w:t>Year One: FY 2015-16</w:t>
      </w:r>
      <w:r>
        <w:rPr>
          <w:rFonts w:ascii="Arial Narrow" w:hAnsi="Arial Narrow" w:cs="Arial"/>
          <w:spacing w:val="0"/>
          <w:sz w:val="24"/>
          <w:szCs w:val="24"/>
        </w:rPr>
        <w:t>”</w:t>
      </w:r>
      <w:r w:rsidRPr="00D722B4">
        <w:rPr>
          <w:rFonts w:ascii="Arial Narrow" w:hAnsi="Arial Narrow" w:cs="Arial"/>
          <w:spacing w:val="0"/>
          <w:sz w:val="24"/>
          <w:szCs w:val="24"/>
        </w:rPr>
        <w:t xml:space="preserve"> section; thus, </w:t>
      </w:r>
      <w:r>
        <w:rPr>
          <w:rFonts w:ascii="Arial Narrow" w:hAnsi="Arial Narrow" w:cs="Arial"/>
          <w:spacing w:val="0"/>
          <w:sz w:val="24"/>
          <w:szCs w:val="24"/>
        </w:rPr>
        <w:t>the descriptions are not repeated here</w:t>
      </w:r>
      <w:r w:rsidRPr="00D722B4">
        <w:rPr>
          <w:rFonts w:ascii="Arial Narrow" w:hAnsi="Arial Narrow" w:cs="Arial"/>
          <w:spacing w:val="0"/>
          <w:sz w:val="24"/>
          <w:szCs w:val="24"/>
        </w:rPr>
        <w:t xml:space="preserve">.   </w:t>
      </w:r>
    </w:p>
    <w:p w:rsidR="00D57553" w:rsidRPr="00D722B4" w:rsidRDefault="00D57553" w:rsidP="00D57553">
      <w:pPr>
        <w:rPr>
          <w:rFonts w:ascii="Arial Narrow" w:hAnsi="Arial Narrow" w:cs="Arial"/>
          <w:spacing w:val="0"/>
          <w:sz w:val="24"/>
          <w:szCs w:val="24"/>
        </w:rPr>
      </w:pPr>
    </w:p>
    <w:p w:rsidR="00D57553" w:rsidRPr="00D722B4" w:rsidRDefault="00D57553" w:rsidP="00D57553">
      <w:pPr>
        <w:pStyle w:val="ListParagraph"/>
        <w:numPr>
          <w:ilvl w:val="1"/>
          <w:numId w:val="11"/>
        </w:numPr>
        <w:rPr>
          <w:rFonts w:ascii="Arial Narrow" w:hAnsi="Arial Narrow" w:cs="Arial"/>
          <w:b/>
          <w:sz w:val="24"/>
          <w:szCs w:val="24"/>
        </w:rPr>
      </w:pPr>
      <w:r w:rsidRPr="00D722B4">
        <w:rPr>
          <w:rFonts w:ascii="Arial Narrow" w:hAnsi="Arial Narrow" w:cs="Arial"/>
          <w:b/>
          <w:sz w:val="24"/>
          <w:szCs w:val="24"/>
        </w:rPr>
        <w:t>Budget Form Prop</w:t>
      </w:r>
      <w:r>
        <w:rPr>
          <w:rFonts w:ascii="Arial Narrow" w:hAnsi="Arial Narrow" w:cs="Arial"/>
          <w:b/>
          <w:sz w:val="24"/>
          <w:szCs w:val="24"/>
        </w:rPr>
        <w:t>.</w:t>
      </w:r>
      <w:r w:rsidRPr="00D722B4">
        <w:rPr>
          <w:rFonts w:ascii="Arial Narrow" w:hAnsi="Arial Narrow" w:cs="Arial"/>
          <w:b/>
          <w:sz w:val="24"/>
          <w:szCs w:val="24"/>
        </w:rPr>
        <w:t xml:space="preserve"> J Contracting </w:t>
      </w:r>
    </w:p>
    <w:p w:rsidR="00D57553" w:rsidRPr="00D722B4" w:rsidRDefault="00D57553" w:rsidP="00D57553">
      <w:pPr>
        <w:rPr>
          <w:rFonts w:ascii="Arial Narrow" w:hAnsi="Arial Narrow" w:cs="Arial"/>
          <w:spacing w:val="0"/>
          <w:sz w:val="24"/>
          <w:szCs w:val="24"/>
        </w:rPr>
      </w:pPr>
      <w:r w:rsidRPr="00D722B4">
        <w:rPr>
          <w:rFonts w:ascii="Arial Narrow" w:hAnsi="Arial Narrow" w:cs="Arial"/>
          <w:spacing w:val="0"/>
          <w:sz w:val="24"/>
          <w:szCs w:val="24"/>
        </w:rPr>
        <w:t xml:space="preserve">The Department seeks approval to contract out the services associated with the </w:t>
      </w:r>
      <w:r w:rsidRPr="00D722B4">
        <w:rPr>
          <w:rFonts w:ascii="Arial Narrow" w:hAnsi="Arial Narrow" w:cs="Arial"/>
          <w:sz w:val="24"/>
          <w:szCs w:val="24"/>
        </w:rPr>
        <w:t>assembly and mailing of over 240,000 vote-by-mail ballot packets</w:t>
      </w:r>
      <w:r w:rsidRPr="00D722B4">
        <w:rPr>
          <w:rFonts w:ascii="Arial Narrow" w:hAnsi="Arial Narrow" w:cs="Arial"/>
          <w:spacing w:val="0"/>
          <w:sz w:val="24"/>
          <w:szCs w:val="24"/>
        </w:rPr>
        <w:t xml:space="preserve"> in FY 2016-17. The comparative analysis of costs of contracting out the services versus performing the same services with City resources is presented on Form Prop</w:t>
      </w:r>
      <w:r>
        <w:rPr>
          <w:rFonts w:ascii="Arial Narrow" w:hAnsi="Arial Narrow" w:cs="Arial"/>
          <w:spacing w:val="0"/>
          <w:sz w:val="24"/>
          <w:szCs w:val="24"/>
        </w:rPr>
        <w:t>.</w:t>
      </w:r>
      <w:r w:rsidRPr="00D722B4">
        <w:rPr>
          <w:rFonts w:ascii="Arial Narrow" w:hAnsi="Arial Narrow" w:cs="Arial"/>
          <w:spacing w:val="0"/>
          <w:sz w:val="24"/>
          <w:szCs w:val="24"/>
        </w:rPr>
        <w:t xml:space="preserve"> </w:t>
      </w:r>
      <w:proofErr w:type="gramStart"/>
      <w:r w:rsidRPr="00D722B4">
        <w:rPr>
          <w:rFonts w:ascii="Arial Narrow" w:hAnsi="Arial Narrow" w:cs="Arial"/>
          <w:spacing w:val="0"/>
          <w:sz w:val="24"/>
          <w:szCs w:val="24"/>
        </w:rPr>
        <w:t>J of the enclosed budget packet.</w:t>
      </w:r>
      <w:proofErr w:type="gramEnd"/>
      <w:r w:rsidRPr="00D722B4">
        <w:rPr>
          <w:rFonts w:ascii="Arial Narrow" w:hAnsi="Arial Narrow" w:cs="Arial"/>
          <w:spacing w:val="0"/>
          <w:sz w:val="24"/>
          <w:szCs w:val="24"/>
        </w:rPr>
        <w:t xml:space="preserve">  </w:t>
      </w:r>
    </w:p>
    <w:p w:rsidR="00D57553" w:rsidRPr="00D722B4" w:rsidRDefault="00D57553" w:rsidP="00D57553">
      <w:pPr>
        <w:rPr>
          <w:rFonts w:ascii="Arial Narrow" w:hAnsi="Arial Narrow"/>
          <w:sz w:val="24"/>
          <w:szCs w:val="24"/>
        </w:rPr>
      </w:pPr>
    </w:p>
    <w:p w:rsidR="00D57553" w:rsidRPr="00D722B4" w:rsidRDefault="00D57553" w:rsidP="00D57553">
      <w:pPr>
        <w:pStyle w:val="ListParagraph"/>
        <w:numPr>
          <w:ilvl w:val="0"/>
          <w:numId w:val="11"/>
        </w:numPr>
        <w:autoSpaceDE w:val="0"/>
        <w:autoSpaceDN w:val="0"/>
        <w:adjustRightInd w:val="0"/>
        <w:rPr>
          <w:rFonts w:ascii="Arial Narrow" w:hAnsi="Arial Narrow" w:cs="Arial"/>
          <w:b/>
          <w:sz w:val="24"/>
          <w:szCs w:val="24"/>
          <w:u w:val="single"/>
        </w:rPr>
      </w:pPr>
      <w:r w:rsidRPr="00D722B4">
        <w:rPr>
          <w:rFonts w:ascii="Arial Narrow" w:hAnsi="Arial Narrow" w:cs="Arial"/>
          <w:b/>
          <w:sz w:val="24"/>
          <w:szCs w:val="24"/>
          <w:u w:val="single"/>
        </w:rPr>
        <w:t xml:space="preserve">Conclusion </w:t>
      </w:r>
    </w:p>
    <w:p w:rsidR="00D57553" w:rsidRPr="00D722B4" w:rsidRDefault="00D57553" w:rsidP="00D57553">
      <w:pPr>
        <w:rPr>
          <w:rFonts w:ascii="Arial Narrow" w:hAnsi="Arial Narrow" w:cs="Arial"/>
          <w:spacing w:val="0"/>
          <w:sz w:val="24"/>
          <w:szCs w:val="24"/>
        </w:rPr>
      </w:pPr>
      <w:r w:rsidRPr="00D722B4">
        <w:rPr>
          <w:rFonts w:ascii="Arial Narrow" w:hAnsi="Arial Narrow" w:cs="Arial"/>
          <w:spacing w:val="0"/>
          <w:sz w:val="24"/>
          <w:szCs w:val="24"/>
        </w:rPr>
        <w:t xml:space="preserve">The proposed budget demonstrates the Department’s commitment to meet </w:t>
      </w:r>
      <w:r w:rsidR="00323145">
        <w:rPr>
          <w:rFonts w:ascii="Arial Narrow" w:hAnsi="Arial Narrow" w:cs="Arial"/>
          <w:spacing w:val="0"/>
          <w:sz w:val="24"/>
          <w:szCs w:val="24"/>
        </w:rPr>
        <w:t>its</w:t>
      </w:r>
      <w:r w:rsidRPr="00D722B4">
        <w:rPr>
          <w:rFonts w:ascii="Arial Narrow" w:hAnsi="Arial Narrow" w:cs="Arial"/>
          <w:spacing w:val="0"/>
          <w:sz w:val="24"/>
          <w:szCs w:val="24"/>
        </w:rPr>
        <w:t xml:space="preserve"> obligations to the voters and to the City and to provide services of the highest possible quality in an effective, timely, and fiscally responsible manner. </w:t>
      </w:r>
    </w:p>
    <w:p w:rsidR="00D57553" w:rsidRPr="00D722B4" w:rsidRDefault="00D57553" w:rsidP="00D57553">
      <w:pPr>
        <w:rPr>
          <w:rFonts w:ascii="Arial Narrow" w:hAnsi="Arial Narrow" w:cs="Arial"/>
          <w:spacing w:val="0"/>
          <w:sz w:val="24"/>
          <w:szCs w:val="24"/>
        </w:rPr>
      </w:pPr>
    </w:p>
    <w:p w:rsidR="00D57553" w:rsidRPr="00D722B4" w:rsidRDefault="00D57553" w:rsidP="00D57553">
      <w:pPr>
        <w:rPr>
          <w:rFonts w:ascii="Arial Narrow" w:hAnsi="Arial Narrow" w:cs="Arial"/>
          <w:spacing w:val="0"/>
          <w:sz w:val="24"/>
          <w:szCs w:val="24"/>
        </w:rPr>
      </w:pPr>
      <w:r w:rsidRPr="00D722B4">
        <w:rPr>
          <w:rFonts w:ascii="Arial Narrow" w:hAnsi="Arial Narrow" w:cs="Arial"/>
          <w:spacing w:val="0"/>
          <w:sz w:val="24"/>
          <w:szCs w:val="24"/>
        </w:rPr>
        <w:t xml:space="preserve">The Department </w:t>
      </w:r>
      <w:r>
        <w:rPr>
          <w:rFonts w:ascii="Arial Narrow" w:hAnsi="Arial Narrow" w:cs="Arial"/>
          <w:spacing w:val="0"/>
          <w:sz w:val="24"/>
          <w:szCs w:val="24"/>
        </w:rPr>
        <w:t>continuously</w:t>
      </w:r>
      <w:r w:rsidRPr="00D722B4">
        <w:rPr>
          <w:rFonts w:ascii="Arial Narrow" w:hAnsi="Arial Narrow" w:cs="Arial"/>
          <w:spacing w:val="0"/>
          <w:sz w:val="24"/>
          <w:szCs w:val="24"/>
        </w:rPr>
        <w:t xml:space="preserve"> strives to improve its processes in response to </w:t>
      </w:r>
      <w:r>
        <w:rPr>
          <w:rFonts w:ascii="Arial Narrow" w:hAnsi="Arial Narrow" w:cs="Arial"/>
          <w:spacing w:val="0"/>
          <w:sz w:val="24"/>
          <w:szCs w:val="24"/>
        </w:rPr>
        <w:t xml:space="preserve">election law </w:t>
      </w:r>
      <w:r w:rsidRPr="00D722B4">
        <w:rPr>
          <w:rFonts w:ascii="Arial Narrow" w:hAnsi="Arial Narrow" w:cs="Arial"/>
          <w:spacing w:val="0"/>
          <w:sz w:val="24"/>
          <w:szCs w:val="24"/>
        </w:rPr>
        <w:t xml:space="preserve">changes that often drive up the costs of conducting elections. The Department actively </w:t>
      </w:r>
      <w:r w:rsidR="00742125">
        <w:rPr>
          <w:rFonts w:ascii="Arial Narrow" w:hAnsi="Arial Narrow" w:cs="Arial"/>
          <w:spacing w:val="0"/>
          <w:sz w:val="24"/>
          <w:szCs w:val="24"/>
        </w:rPr>
        <w:t>seeks</w:t>
      </w:r>
      <w:r w:rsidR="00742125" w:rsidRPr="00D722B4">
        <w:rPr>
          <w:rFonts w:ascii="Arial Narrow" w:hAnsi="Arial Narrow" w:cs="Arial"/>
          <w:spacing w:val="0"/>
          <w:sz w:val="24"/>
          <w:szCs w:val="24"/>
        </w:rPr>
        <w:t xml:space="preserve"> </w:t>
      </w:r>
      <w:r w:rsidRPr="00D722B4">
        <w:rPr>
          <w:rFonts w:ascii="Arial Narrow" w:hAnsi="Arial Narrow" w:cs="Arial"/>
          <w:spacing w:val="0"/>
          <w:sz w:val="24"/>
          <w:szCs w:val="24"/>
        </w:rPr>
        <w:t>out efficiencies whenever possible–from contracting out the assembly of vote-by-mail packets to automating vote-by-mail ballot processing–resulting in Department budget savings</w:t>
      </w:r>
      <w:r w:rsidR="00CC445C">
        <w:rPr>
          <w:rFonts w:ascii="Arial Narrow" w:hAnsi="Arial Narrow" w:cs="Arial"/>
          <w:spacing w:val="0"/>
          <w:sz w:val="24"/>
          <w:szCs w:val="24"/>
        </w:rPr>
        <w:t xml:space="preserve">. </w:t>
      </w:r>
      <w:r w:rsidR="00742125">
        <w:rPr>
          <w:rFonts w:ascii="Arial Narrow" w:hAnsi="Arial Narrow" w:cs="Arial"/>
          <w:spacing w:val="0"/>
          <w:sz w:val="24"/>
          <w:szCs w:val="24"/>
        </w:rPr>
        <w:t>A</w:t>
      </w:r>
      <w:r w:rsidRPr="00D722B4">
        <w:rPr>
          <w:rFonts w:ascii="Arial Narrow" w:hAnsi="Arial Narrow" w:cs="Arial"/>
          <w:spacing w:val="0"/>
          <w:sz w:val="24"/>
          <w:szCs w:val="24"/>
        </w:rPr>
        <w:t>lthough the Department will face challenges in the next three years</w:t>
      </w:r>
      <w:r>
        <w:rPr>
          <w:rFonts w:ascii="Arial Narrow" w:hAnsi="Arial Narrow" w:cs="Arial"/>
          <w:sz w:val="24"/>
          <w:szCs w:val="24"/>
        </w:rPr>
        <w:t>—</w:t>
      </w:r>
      <w:r w:rsidRPr="00D722B4">
        <w:rPr>
          <w:rFonts w:ascii="Arial Narrow" w:hAnsi="Arial Narrow" w:cs="Arial"/>
          <w:spacing w:val="0"/>
          <w:sz w:val="24"/>
          <w:szCs w:val="24"/>
        </w:rPr>
        <w:t>finding and moving to a new warehouse site, exploring options related to the City’s voting system, implementing a statewide voter registration database, developing methods to allow for same-day voter registration</w:t>
      </w:r>
      <w:r>
        <w:rPr>
          <w:rFonts w:ascii="Arial Narrow" w:hAnsi="Arial Narrow" w:cs="Arial"/>
          <w:sz w:val="24"/>
          <w:szCs w:val="24"/>
        </w:rPr>
        <w:t>—</w:t>
      </w:r>
      <w:r w:rsidR="004141B6">
        <w:rPr>
          <w:rFonts w:ascii="Arial Narrow" w:hAnsi="Arial Narrow" w:cs="Arial"/>
          <w:sz w:val="24"/>
          <w:szCs w:val="24"/>
        </w:rPr>
        <w:t xml:space="preserve">the Department </w:t>
      </w:r>
      <w:r w:rsidRPr="00D722B4">
        <w:rPr>
          <w:rFonts w:ascii="Arial Narrow" w:hAnsi="Arial Narrow" w:cs="Arial"/>
          <w:spacing w:val="0"/>
          <w:sz w:val="24"/>
          <w:szCs w:val="24"/>
        </w:rPr>
        <w:t xml:space="preserve"> remains committed to responsible budgeting and fiscal discipline.  </w:t>
      </w:r>
    </w:p>
    <w:p w:rsidR="00D57553" w:rsidRDefault="00D57553" w:rsidP="00D57553">
      <w:pPr>
        <w:rPr>
          <w:rFonts w:ascii="Arial Narrow" w:hAnsi="Arial Narrow" w:cs="Arial"/>
          <w:spacing w:val="0"/>
          <w:sz w:val="24"/>
          <w:szCs w:val="24"/>
        </w:rPr>
      </w:pPr>
    </w:p>
    <w:p w:rsidR="00D57553" w:rsidRPr="00D722B4" w:rsidRDefault="00D57553" w:rsidP="00D57553">
      <w:pPr>
        <w:rPr>
          <w:rFonts w:ascii="Arial Narrow" w:hAnsi="Arial Narrow" w:cs="Arial"/>
          <w:spacing w:val="0"/>
          <w:sz w:val="24"/>
          <w:szCs w:val="24"/>
        </w:rPr>
      </w:pPr>
      <w:r w:rsidRPr="00D722B4">
        <w:rPr>
          <w:rFonts w:ascii="Arial Narrow" w:hAnsi="Arial Narrow" w:cs="Arial"/>
          <w:spacing w:val="0"/>
          <w:sz w:val="24"/>
          <w:szCs w:val="24"/>
        </w:rPr>
        <w:t xml:space="preserve">Enclosures: </w:t>
      </w:r>
    </w:p>
    <w:p w:rsidR="00D57553" w:rsidRPr="00D722B4" w:rsidRDefault="00D57553" w:rsidP="00D57553">
      <w:pPr>
        <w:rPr>
          <w:rFonts w:ascii="Arial Narrow" w:hAnsi="Arial Narrow" w:cs="Arial"/>
          <w:spacing w:val="0"/>
          <w:sz w:val="24"/>
          <w:szCs w:val="24"/>
        </w:rPr>
      </w:pPr>
    </w:p>
    <w:p w:rsidR="00D57553" w:rsidRPr="00D722B4" w:rsidRDefault="00D57553" w:rsidP="00D57553">
      <w:pPr>
        <w:rPr>
          <w:rFonts w:ascii="Arial Narrow" w:hAnsi="Arial Narrow" w:cs="Arial"/>
          <w:spacing w:val="0"/>
          <w:sz w:val="24"/>
          <w:szCs w:val="24"/>
        </w:rPr>
      </w:pPr>
      <w:r w:rsidRPr="00D722B4">
        <w:rPr>
          <w:rFonts w:ascii="Arial Narrow" w:hAnsi="Arial Narrow" w:cs="Arial"/>
          <w:spacing w:val="0"/>
          <w:sz w:val="24"/>
          <w:szCs w:val="24"/>
        </w:rPr>
        <w:t xml:space="preserve">Chart 1 </w:t>
      </w:r>
      <w:r>
        <w:rPr>
          <w:rFonts w:ascii="Arial Narrow" w:hAnsi="Arial Narrow" w:cs="Arial"/>
          <w:spacing w:val="0"/>
          <w:sz w:val="24"/>
          <w:szCs w:val="24"/>
        </w:rPr>
        <w:t>demonstrates</w:t>
      </w:r>
      <w:r w:rsidRPr="00D722B4">
        <w:rPr>
          <w:rFonts w:ascii="Arial Narrow" w:hAnsi="Arial Narrow" w:cs="Arial"/>
          <w:spacing w:val="0"/>
          <w:sz w:val="24"/>
          <w:szCs w:val="24"/>
        </w:rPr>
        <w:t xml:space="preserve"> the allocation </w:t>
      </w:r>
      <w:r>
        <w:rPr>
          <w:rFonts w:ascii="Arial Narrow" w:hAnsi="Arial Narrow" w:cs="Arial"/>
          <w:spacing w:val="0"/>
          <w:sz w:val="24"/>
          <w:szCs w:val="24"/>
        </w:rPr>
        <w:t xml:space="preserve">of </w:t>
      </w:r>
      <w:r w:rsidRPr="00D722B4">
        <w:rPr>
          <w:rFonts w:ascii="Arial Narrow" w:hAnsi="Arial Narrow" w:cs="Arial"/>
          <w:spacing w:val="0"/>
          <w:sz w:val="24"/>
          <w:szCs w:val="24"/>
        </w:rPr>
        <w:t>funds among major expenditure categories of the Department’s FY 2015-16 and FY 2016-17 budgets.</w:t>
      </w:r>
    </w:p>
    <w:p w:rsidR="00D57553" w:rsidRPr="00D722B4" w:rsidRDefault="00D57553" w:rsidP="00D57553">
      <w:pPr>
        <w:autoSpaceDE w:val="0"/>
        <w:autoSpaceDN w:val="0"/>
        <w:adjustRightInd w:val="0"/>
        <w:rPr>
          <w:rFonts w:ascii="Arial Narrow" w:hAnsi="Arial Narrow" w:cs="Arial"/>
          <w:spacing w:val="0"/>
          <w:sz w:val="24"/>
          <w:szCs w:val="24"/>
        </w:rPr>
      </w:pPr>
      <w:r w:rsidRPr="00D722B4">
        <w:rPr>
          <w:rFonts w:ascii="Arial Narrow" w:hAnsi="Arial Narrow" w:cs="Arial"/>
          <w:spacing w:val="0"/>
          <w:sz w:val="24"/>
          <w:szCs w:val="24"/>
        </w:rPr>
        <w:t xml:space="preserve"> </w:t>
      </w:r>
    </w:p>
    <w:p w:rsidR="00127FC0" w:rsidRPr="00127FC0" w:rsidRDefault="00D57553" w:rsidP="00127FC0">
      <w:pPr>
        <w:autoSpaceDE w:val="0"/>
        <w:autoSpaceDN w:val="0"/>
        <w:adjustRightInd w:val="0"/>
        <w:rPr>
          <w:rFonts w:ascii="Arial Narrow" w:hAnsi="Arial Narrow"/>
          <w:sz w:val="24"/>
          <w:szCs w:val="24"/>
        </w:rPr>
        <w:sectPr w:rsidR="00127FC0" w:rsidRPr="00127FC0" w:rsidSect="00E52A5E">
          <w:headerReference w:type="even" r:id="rId9"/>
          <w:headerReference w:type="default" r:id="rId10"/>
          <w:footerReference w:type="even" r:id="rId11"/>
          <w:footerReference w:type="default" r:id="rId12"/>
          <w:headerReference w:type="first" r:id="rId13"/>
          <w:footerReference w:type="first" r:id="rId14"/>
          <w:pgSz w:w="12240" w:h="15840" w:code="1"/>
          <w:pgMar w:top="1440" w:right="1260" w:bottom="1440" w:left="1170" w:header="432" w:footer="432" w:gutter="0"/>
          <w:cols w:space="720"/>
          <w:titlePg/>
          <w:docGrid w:linePitch="360"/>
        </w:sectPr>
      </w:pPr>
      <w:r w:rsidRPr="00D722B4">
        <w:rPr>
          <w:rFonts w:ascii="Arial Narrow" w:hAnsi="Arial Narrow" w:cs="Arial"/>
          <w:spacing w:val="0"/>
          <w:sz w:val="24"/>
          <w:szCs w:val="24"/>
        </w:rPr>
        <w:t>Chart 2</w:t>
      </w:r>
      <w:r w:rsidRPr="00D722B4">
        <w:rPr>
          <w:rFonts w:ascii="Arial Narrow" w:hAnsi="Arial Narrow" w:cs="Arial"/>
          <w:b/>
          <w:spacing w:val="0"/>
          <w:sz w:val="24"/>
          <w:szCs w:val="24"/>
        </w:rPr>
        <w:t xml:space="preserve"> </w:t>
      </w:r>
      <w:r>
        <w:rPr>
          <w:rFonts w:ascii="Arial Narrow" w:hAnsi="Arial Narrow" w:cs="Arial"/>
          <w:spacing w:val="0"/>
          <w:sz w:val="24"/>
          <w:szCs w:val="24"/>
        </w:rPr>
        <w:t>demonstrates</w:t>
      </w:r>
      <w:r w:rsidRPr="00D722B4">
        <w:rPr>
          <w:rFonts w:ascii="Arial Narrow" w:hAnsi="Arial Narrow" w:cs="Arial"/>
          <w:spacing w:val="0"/>
          <w:sz w:val="24"/>
          <w:szCs w:val="24"/>
        </w:rPr>
        <w:t xml:space="preserve"> the proportion of revenue projected to be received from various source</w:t>
      </w:r>
      <w:r w:rsidR="00127FC0">
        <w:rPr>
          <w:rFonts w:ascii="Arial Narrow" w:hAnsi="Arial Narrow" w:cs="Arial"/>
          <w:spacing w:val="0"/>
          <w:sz w:val="24"/>
          <w:szCs w:val="24"/>
        </w:rPr>
        <w:t>s in FY 2015-16 and FY 2016-17</w:t>
      </w:r>
    </w:p>
    <w:p w:rsidR="00AF15E6" w:rsidRPr="00127FC0" w:rsidRDefault="00AF15E6" w:rsidP="00127FC0">
      <w:pPr>
        <w:rPr>
          <w:rFonts w:cs="Arial"/>
          <w:spacing w:val="0"/>
          <w:sz w:val="8"/>
          <w:szCs w:val="8"/>
        </w:rPr>
      </w:pPr>
    </w:p>
    <w:p w:rsidR="0057234F" w:rsidRDefault="00320A67" w:rsidP="004A462E">
      <w:pPr>
        <w:jc w:val="center"/>
        <w:rPr>
          <w:rFonts w:cs="Arial"/>
          <w:b/>
          <w:spacing w:val="0"/>
          <w:sz w:val="28"/>
          <w:szCs w:val="28"/>
        </w:rPr>
      </w:pPr>
      <w:r w:rsidRPr="005B10E5">
        <w:rPr>
          <w:rFonts w:cs="Arial"/>
          <w:b/>
          <w:spacing w:val="0"/>
          <w:sz w:val="28"/>
          <w:szCs w:val="28"/>
        </w:rPr>
        <w:t>Chart 1</w:t>
      </w:r>
      <w:r w:rsidR="0086399B" w:rsidRPr="005B10E5">
        <w:rPr>
          <w:rFonts w:cs="Arial"/>
          <w:b/>
          <w:spacing w:val="0"/>
          <w:sz w:val="28"/>
          <w:szCs w:val="28"/>
        </w:rPr>
        <w:t xml:space="preserve"> </w:t>
      </w:r>
      <w:r w:rsidR="00DA4123">
        <w:rPr>
          <w:rFonts w:cs="Arial"/>
          <w:b/>
          <w:spacing w:val="0"/>
          <w:sz w:val="28"/>
          <w:szCs w:val="28"/>
        </w:rPr>
        <w:t>–</w:t>
      </w:r>
      <w:r w:rsidR="008C603A" w:rsidRPr="005B10E5">
        <w:rPr>
          <w:rFonts w:cs="Arial"/>
          <w:b/>
          <w:spacing w:val="0"/>
          <w:sz w:val="28"/>
          <w:szCs w:val="28"/>
        </w:rPr>
        <w:t xml:space="preserve"> </w:t>
      </w:r>
      <w:r w:rsidR="0086399B" w:rsidRPr="005B10E5">
        <w:rPr>
          <w:rFonts w:cs="Arial"/>
          <w:b/>
          <w:spacing w:val="0"/>
          <w:sz w:val="28"/>
          <w:szCs w:val="28"/>
        </w:rPr>
        <w:t>Expenditures</w:t>
      </w:r>
    </w:p>
    <w:p w:rsidR="00002D9D" w:rsidRDefault="00002D9D" w:rsidP="004A462E">
      <w:pPr>
        <w:jc w:val="center"/>
        <w:rPr>
          <w:rFonts w:cs="Arial"/>
          <w:b/>
          <w:spacing w:val="0"/>
          <w:sz w:val="28"/>
          <w:szCs w:val="28"/>
        </w:rPr>
      </w:pPr>
    </w:p>
    <w:p w:rsidR="004A462E" w:rsidRDefault="004A462E" w:rsidP="00002D9D">
      <w:pPr>
        <w:rPr>
          <w:rFonts w:cs="Arial"/>
          <w:b/>
          <w:spacing w:val="0"/>
          <w:sz w:val="28"/>
          <w:szCs w:val="28"/>
        </w:rPr>
      </w:pPr>
    </w:p>
    <w:p w:rsidR="004A462E" w:rsidRDefault="0057234F" w:rsidP="004A462E">
      <w:pPr>
        <w:tabs>
          <w:tab w:val="left" w:pos="1800"/>
          <w:tab w:val="left" w:pos="9000"/>
        </w:tabs>
        <w:jc w:val="center"/>
        <w:rPr>
          <w:rFonts w:cs="Arial"/>
          <w:b/>
          <w:spacing w:val="0"/>
          <w:sz w:val="28"/>
          <w:szCs w:val="28"/>
        </w:rPr>
      </w:pPr>
      <w:r>
        <w:rPr>
          <w:noProof/>
        </w:rPr>
        <w:drawing>
          <wp:inline distT="0" distB="0" distL="0" distR="0" wp14:anchorId="39B15C5D" wp14:editId="64312357">
            <wp:extent cx="5228828" cy="2698750"/>
            <wp:effectExtent l="0" t="0" r="1016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234F" w:rsidRDefault="004A462E" w:rsidP="00002D9D">
      <w:pPr>
        <w:tabs>
          <w:tab w:val="left" w:pos="1800"/>
          <w:tab w:val="left" w:pos="9000"/>
        </w:tabs>
        <w:rPr>
          <w:rFonts w:cs="Arial"/>
          <w:b/>
          <w:spacing w:val="0"/>
          <w:sz w:val="28"/>
          <w:szCs w:val="28"/>
        </w:rPr>
      </w:pPr>
      <w:r>
        <w:rPr>
          <w:rFonts w:cs="Arial"/>
          <w:b/>
          <w:spacing w:val="0"/>
          <w:sz w:val="28"/>
          <w:szCs w:val="28"/>
        </w:rPr>
        <w:br/>
      </w:r>
    </w:p>
    <w:p w:rsidR="004A462E" w:rsidRDefault="004A462E" w:rsidP="004A462E">
      <w:pPr>
        <w:jc w:val="center"/>
        <w:rPr>
          <w:rFonts w:cs="Arial"/>
          <w:b/>
          <w:spacing w:val="0"/>
          <w:sz w:val="28"/>
          <w:szCs w:val="28"/>
        </w:rPr>
      </w:pPr>
      <w:r>
        <w:rPr>
          <w:noProof/>
        </w:rPr>
        <w:drawing>
          <wp:inline distT="0" distB="0" distL="0" distR="0" wp14:anchorId="4C25AC5A" wp14:editId="5C51DA2D">
            <wp:extent cx="5200650" cy="2673350"/>
            <wp:effectExtent l="0" t="0" r="1905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462E" w:rsidRDefault="004A462E" w:rsidP="0057234F">
      <w:pPr>
        <w:rPr>
          <w:rFonts w:cs="Arial"/>
          <w:b/>
          <w:spacing w:val="0"/>
          <w:sz w:val="28"/>
          <w:szCs w:val="28"/>
        </w:rPr>
      </w:pPr>
    </w:p>
    <w:p w:rsidR="004A462E" w:rsidRDefault="004A462E" w:rsidP="0057234F">
      <w:pPr>
        <w:rPr>
          <w:rFonts w:cs="Arial"/>
          <w:b/>
          <w:spacing w:val="0"/>
          <w:sz w:val="28"/>
          <w:szCs w:val="28"/>
        </w:rPr>
      </w:pPr>
    </w:p>
    <w:p w:rsidR="004A462E" w:rsidRDefault="004A462E" w:rsidP="0057234F">
      <w:pPr>
        <w:rPr>
          <w:rFonts w:cs="Arial"/>
          <w:b/>
          <w:spacing w:val="0"/>
          <w:sz w:val="28"/>
          <w:szCs w:val="28"/>
        </w:rPr>
      </w:pPr>
    </w:p>
    <w:p w:rsidR="004A462E" w:rsidRDefault="004A462E" w:rsidP="0057234F">
      <w:pPr>
        <w:rPr>
          <w:rFonts w:cs="Arial"/>
          <w:b/>
          <w:spacing w:val="0"/>
          <w:sz w:val="28"/>
          <w:szCs w:val="28"/>
        </w:rPr>
      </w:pPr>
    </w:p>
    <w:p w:rsidR="004A462E" w:rsidRDefault="004A462E" w:rsidP="0057234F">
      <w:pPr>
        <w:rPr>
          <w:rFonts w:cs="Arial"/>
          <w:b/>
          <w:spacing w:val="0"/>
          <w:sz w:val="28"/>
          <w:szCs w:val="28"/>
        </w:rPr>
      </w:pPr>
    </w:p>
    <w:p w:rsidR="001D0631" w:rsidRPr="000962BF" w:rsidRDefault="001D0631" w:rsidP="001D0631">
      <w:pPr>
        <w:rPr>
          <w:rFonts w:ascii="Arial Narrow" w:hAnsi="Arial Narrow" w:cs="Arial"/>
        </w:rPr>
      </w:pPr>
      <w:r w:rsidRPr="000962BF">
        <w:rPr>
          <w:rFonts w:ascii="Arial Narrow" w:hAnsi="Arial Narrow" w:cs="Arial"/>
        </w:rPr>
        <w:t xml:space="preserve">*One-time </w:t>
      </w:r>
      <w:r w:rsidR="007C7C72" w:rsidRPr="000962BF">
        <w:rPr>
          <w:rFonts w:ascii="Arial Narrow" w:hAnsi="Arial Narrow" w:cs="Arial"/>
        </w:rPr>
        <w:t>$</w:t>
      </w:r>
      <w:r w:rsidRPr="000962BF">
        <w:rPr>
          <w:rFonts w:ascii="Arial Narrow" w:hAnsi="Arial Narrow" w:cs="Arial"/>
        </w:rPr>
        <w:t xml:space="preserve">500,000 expense </w:t>
      </w:r>
      <w:r w:rsidR="005B10E5" w:rsidRPr="000962BF">
        <w:rPr>
          <w:rFonts w:ascii="Arial Narrow" w:hAnsi="Arial Narrow" w:cs="Arial"/>
        </w:rPr>
        <w:t xml:space="preserve">for </w:t>
      </w:r>
      <w:r w:rsidR="0074116C" w:rsidRPr="000962BF">
        <w:rPr>
          <w:rFonts w:ascii="Arial Narrow" w:hAnsi="Arial Narrow" w:cs="Arial"/>
        </w:rPr>
        <w:t>increased rental fees</w:t>
      </w:r>
      <w:r w:rsidR="005B10E5" w:rsidRPr="000962BF">
        <w:rPr>
          <w:rFonts w:ascii="Arial Narrow" w:hAnsi="Arial Narrow" w:cs="Arial"/>
        </w:rPr>
        <w:t xml:space="preserve"> and</w:t>
      </w:r>
      <w:r w:rsidR="0074116C" w:rsidRPr="000962BF">
        <w:rPr>
          <w:rFonts w:ascii="Arial Narrow" w:hAnsi="Arial Narrow" w:cs="Arial"/>
        </w:rPr>
        <w:t xml:space="preserve"> </w:t>
      </w:r>
      <w:r w:rsidRPr="000962BF">
        <w:rPr>
          <w:rFonts w:ascii="Arial Narrow" w:hAnsi="Arial Narrow" w:cs="Arial"/>
        </w:rPr>
        <w:t>additional data processing equipment</w:t>
      </w:r>
      <w:r w:rsidR="005B10E5" w:rsidRPr="000962BF">
        <w:rPr>
          <w:rFonts w:ascii="Arial Narrow" w:hAnsi="Arial Narrow" w:cs="Arial"/>
        </w:rPr>
        <w:t xml:space="preserve"> costs for a new </w:t>
      </w:r>
      <w:r w:rsidR="000962BF">
        <w:rPr>
          <w:rFonts w:ascii="Arial Narrow" w:hAnsi="Arial Narrow" w:cs="Arial"/>
        </w:rPr>
        <w:t>warehouse</w:t>
      </w:r>
      <w:r w:rsidR="00775A5D" w:rsidRPr="000962BF">
        <w:rPr>
          <w:rFonts w:ascii="Arial Narrow" w:hAnsi="Arial Narrow" w:cs="Arial"/>
        </w:rPr>
        <w:t>,</w:t>
      </w:r>
      <w:r w:rsidR="005B10E5" w:rsidRPr="000962BF">
        <w:rPr>
          <w:rFonts w:ascii="Arial Narrow" w:hAnsi="Arial Narrow" w:cs="Arial"/>
        </w:rPr>
        <w:t xml:space="preserve"> as well as</w:t>
      </w:r>
      <w:r w:rsidRPr="000962BF">
        <w:rPr>
          <w:rFonts w:ascii="Arial Narrow" w:hAnsi="Arial Narrow" w:cs="Arial"/>
        </w:rPr>
        <w:t xml:space="preserve"> rental fees for two facilities should the build-out </w:t>
      </w:r>
      <w:r w:rsidR="00B92096" w:rsidRPr="000962BF">
        <w:rPr>
          <w:rFonts w:ascii="Arial Narrow" w:hAnsi="Arial Narrow" w:cs="Arial"/>
        </w:rPr>
        <w:t>of the new</w:t>
      </w:r>
      <w:r w:rsidR="000962BF">
        <w:rPr>
          <w:rFonts w:ascii="Arial Narrow" w:hAnsi="Arial Narrow" w:cs="Arial"/>
        </w:rPr>
        <w:t xml:space="preserve"> warehouse </w:t>
      </w:r>
      <w:r w:rsidRPr="000962BF">
        <w:rPr>
          <w:rFonts w:ascii="Arial Narrow" w:hAnsi="Arial Narrow" w:cs="Arial"/>
        </w:rPr>
        <w:t>require</w:t>
      </w:r>
      <w:r w:rsidR="00B92096" w:rsidRPr="000962BF">
        <w:rPr>
          <w:rFonts w:ascii="Arial Narrow" w:hAnsi="Arial Narrow" w:cs="Arial"/>
        </w:rPr>
        <w:t xml:space="preserve"> maintaining two sites concurrently. </w:t>
      </w:r>
    </w:p>
    <w:p w:rsidR="00510D33" w:rsidRPr="000962BF" w:rsidRDefault="00510D33" w:rsidP="001D0631">
      <w:pPr>
        <w:rPr>
          <w:rFonts w:ascii="Arial Narrow" w:hAnsi="Arial Narrow" w:cs="Arial"/>
        </w:rPr>
      </w:pPr>
    </w:p>
    <w:p w:rsidR="0097329A" w:rsidRPr="000962BF" w:rsidRDefault="007C7C72" w:rsidP="001D0631">
      <w:pPr>
        <w:rPr>
          <w:rFonts w:ascii="Arial Narrow" w:hAnsi="Arial Narrow" w:cs="Arial"/>
        </w:rPr>
      </w:pPr>
      <w:r w:rsidRPr="000962BF">
        <w:rPr>
          <w:rFonts w:ascii="Arial Narrow" w:hAnsi="Arial Narrow" w:cs="Arial"/>
        </w:rPr>
        <w:t>** One-time $</w:t>
      </w:r>
      <w:r w:rsidR="001D0631" w:rsidRPr="000962BF">
        <w:rPr>
          <w:rFonts w:ascii="Arial Narrow" w:hAnsi="Arial Narrow" w:cs="Arial"/>
        </w:rPr>
        <w:t xml:space="preserve">2,000,000 expense for warehouse relocation and build </w:t>
      </w:r>
      <w:r w:rsidR="00D751DA" w:rsidRPr="000962BF">
        <w:rPr>
          <w:rFonts w:ascii="Arial Narrow" w:hAnsi="Arial Narrow" w:cs="Arial"/>
        </w:rPr>
        <w:t xml:space="preserve">out. </w:t>
      </w:r>
    </w:p>
    <w:p w:rsidR="008C603A" w:rsidRDefault="008C603A" w:rsidP="008C603A">
      <w:pPr>
        <w:jc w:val="center"/>
        <w:rPr>
          <w:rFonts w:cs="Arial"/>
          <w:b/>
          <w:spacing w:val="0"/>
          <w:sz w:val="28"/>
          <w:szCs w:val="28"/>
        </w:rPr>
      </w:pPr>
      <w:r w:rsidRPr="00320A67">
        <w:rPr>
          <w:rFonts w:cs="Arial"/>
          <w:b/>
          <w:spacing w:val="0"/>
          <w:sz w:val="28"/>
          <w:szCs w:val="28"/>
        </w:rPr>
        <w:lastRenderedPageBreak/>
        <w:t xml:space="preserve">Chart </w:t>
      </w:r>
      <w:r>
        <w:rPr>
          <w:rFonts w:cs="Arial"/>
          <w:b/>
          <w:spacing w:val="0"/>
          <w:sz w:val="28"/>
          <w:szCs w:val="28"/>
        </w:rPr>
        <w:t xml:space="preserve">2 </w:t>
      </w:r>
      <w:r w:rsidR="00522F6E">
        <w:rPr>
          <w:rFonts w:cs="Arial"/>
          <w:b/>
          <w:spacing w:val="0"/>
          <w:sz w:val="28"/>
          <w:szCs w:val="28"/>
        </w:rPr>
        <w:t>–</w:t>
      </w:r>
      <w:r>
        <w:rPr>
          <w:rFonts w:cs="Arial"/>
          <w:b/>
          <w:spacing w:val="0"/>
          <w:sz w:val="28"/>
          <w:szCs w:val="28"/>
        </w:rPr>
        <w:t xml:space="preserve"> Revenues</w:t>
      </w:r>
    </w:p>
    <w:p w:rsidR="00176B23" w:rsidRDefault="00176B23" w:rsidP="00510D33">
      <w:pPr>
        <w:rPr>
          <w:rFonts w:cs="Arial"/>
          <w:b/>
          <w:spacing w:val="0"/>
        </w:rPr>
      </w:pPr>
    </w:p>
    <w:p w:rsidR="00002D9D" w:rsidRPr="00002D9D" w:rsidRDefault="00002D9D" w:rsidP="00510D33">
      <w:pPr>
        <w:rPr>
          <w:rFonts w:cs="Arial"/>
          <w:b/>
          <w:spacing w:val="0"/>
        </w:rPr>
      </w:pPr>
    </w:p>
    <w:p w:rsidR="004A462E" w:rsidRDefault="00536DB3" w:rsidP="004A462E">
      <w:pPr>
        <w:tabs>
          <w:tab w:val="left" w:pos="5310"/>
          <w:tab w:val="left" w:pos="9000"/>
        </w:tabs>
        <w:jc w:val="center"/>
        <w:rPr>
          <w:noProof/>
        </w:rPr>
      </w:pPr>
      <w:r>
        <w:rPr>
          <w:noProof/>
        </w:rPr>
        <w:drawing>
          <wp:inline distT="0" distB="0" distL="0" distR="0" wp14:anchorId="4B2BD640" wp14:editId="6BC73049">
            <wp:extent cx="5262165" cy="2610998"/>
            <wp:effectExtent l="0" t="0" r="1524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462E" w:rsidRDefault="004A462E" w:rsidP="00536DB3">
      <w:pPr>
        <w:tabs>
          <w:tab w:val="left" w:pos="1260"/>
          <w:tab w:val="left" w:pos="1800"/>
          <w:tab w:val="left" w:pos="5310"/>
          <w:tab w:val="left" w:pos="9000"/>
          <w:tab w:val="left" w:pos="9540"/>
        </w:tabs>
        <w:jc w:val="center"/>
        <w:rPr>
          <w:noProof/>
        </w:rPr>
      </w:pPr>
    </w:p>
    <w:p w:rsidR="004A462E" w:rsidRDefault="004A462E" w:rsidP="00127FC0">
      <w:pPr>
        <w:tabs>
          <w:tab w:val="left" w:pos="1800"/>
          <w:tab w:val="left" w:pos="5310"/>
          <w:tab w:val="left" w:pos="9000"/>
        </w:tabs>
        <w:rPr>
          <w:noProof/>
        </w:rPr>
      </w:pPr>
    </w:p>
    <w:p w:rsidR="004A462E" w:rsidRDefault="004A462E" w:rsidP="004A462E">
      <w:pPr>
        <w:tabs>
          <w:tab w:val="left" w:pos="5310"/>
        </w:tabs>
        <w:jc w:val="center"/>
        <w:rPr>
          <w:noProof/>
        </w:rPr>
      </w:pPr>
    </w:p>
    <w:p w:rsidR="00176B23" w:rsidRDefault="00536DB3" w:rsidP="00536DB3">
      <w:pPr>
        <w:tabs>
          <w:tab w:val="left" w:pos="1260"/>
          <w:tab w:val="left" w:pos="5310"/>
          <w:tab w:val="left" w:pos="9540"/>
        </w:tabs>
        <w:jc w:val="center"/>
        <w:rPr>
          <w:rFonts w:cs="Arial"/>
          <w:b/>
          <w:spacing w:val="0"/>
          <w:sz w:val="28"/>
          <w:szCs w:val="28"/>
        </w:rPr>
      </w:pPr>
      <w:r>
        <w:rPr>
          <w:noProof/>
        </w:rPr>
        <w:drawing>
          <wp:inline distT="0" distB="0" distL="0" distR="0" wp14:anchorId="539454F5" wp14:editId="7C8C1F2E">
            <wp:extent cx="5310130" cy="2660573"/>
            <wp:effectExtent l="0" t="0" r="24130"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6B23" w:rsidRDefault="00176B23" w:rsidP="00B96B51">
      <w:pPr>
        <w:rPr>
          <w:rFonts w:cs="Arial"/>
          <w:b/>
          <w:spacing w:val="0"/>
          <w:sz w:val="28"/>
          <w:szCs w:val="28"/>
        </w:rPr>
      </w:pPr>
    </w:p>
    <w:p w:rsidR="008C603A" w:rsidRDefault="008C603A" w:rsidP="008C603A">
      <w:pPr>
        <w:jc w:val="center"/>
        <w:rPr>
          <w:rFonts w:cs="Arial"/>
          <w:sz w:val="28"/>
          <w:szCs w:val="28"/>
        </w:rPr>
      </w:pPr>
    </w:p>
    <w:p w:rsidR="008C603A" w:rsidRPr="008C603A" w:rsidRDefault="008C603A" w:rsidP="008D24A5">
      <w:pPr>
        <w:rPr>
          <w:rFonts w:cs="Arial"/>
          <w:sz w:val="28"/>
          <w:szCs w:val="28"/>
        </w:rPr>
      </w:pPr>
    </w:p>
    <w:sectPr w:rsidR="008C603A" w:rsidRPr="008C603A" w:rsidSect="00AF15E6">
      <w:footerReference w:type="default" r:id="rId19"/>
      <w:headerReference w:type="first" r:id="rId20"/>
      <w:footerReference w:type="first" r:id="rId2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57" w:rsidRDefault="003C3457" w:rsidP="003C3457">
      <w:r>
        <w:separator/>
      </w:r>
    </w:p>
  </w:endnote>
  <w:endnote w:type="continuationSeparator" w:id="0">
    <w:p w:rsidR="003C3457" w:rsidRDefault="003C3457" w:rsidP="003C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A" w:rsidRDefault="000A7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29239"/>
      <w:docPartObj>
        <w:docPartGallery w:val="Page Numbers (Bottom of Page)"/>
        <w:docPartUnique/>
      </w:docPartObj>
    </w:sdtPr>
    <w:sdtEndPr>
      <w:rPr>
        <w:rFonts w:ascii="Garamond" w:hAnsi="Garamond"/>
        <w:sz w:val="20"/>
        <w:szCs w:val="20"/>
      </w:rPr>
    </w:sdtEndPr>
    <w:sdtContent>
      <w:sdt>
        <w:sdtPr>
          <w:id w:val="-1669238322"/>
          <w:docPartObj>
            <w:docPartGallery w:val="Page Numbers (Top of Page)"/>
            <w:docPartUnique/>
          </w:docPartObj>
        </w:sdtPr>
        <w:sdtEndPr>
          <w:rPr>
            <w:rFonts w:ascii="Garamond" w:hAnsi="Garamond"/>
            <w:sz w:val="20"/>
            <w:szCs w:val="20"/>
          </w:rPr>
        </w:sdtEndPr>
        <w:sdtContent>
          <w:p w:rsidR="009F69FD" w:rsidRPr="009F69FD" w:rsidRDefault="009F69FD">
            <w:pPr>
              <w:pStyle w:val="Footer"/>
              <w:jc w:val="center"/>
              <w:rPr>
                <w:rFonts w:ascii="Garamond" w:hAnsi="Garamond"/>
                <w:sz w:val="20"/>
                <w:szCs w:val="20"/>
              </w:rPr>
            </w:pPr>
            <w:r w:rsidRPr="009F69FD">
              <w:rPr>
                <w:rFonts w:ascii="Garamond" w:hAnsi="Garamond"/>
                <w:sz w:val="20"/>
                <w:szCs w:val="20"/>
              </w:rPr>
              <w:t>San Francisco Department of Elections</w:t>
            </w:r>
          </w:p>
          <w:p w:rsidR="00127FC0" w:rsidRPr="009F69FD" w:rsidRDefault="00127FC0">
            <w:pPr>
              <w:pStyle w:val="Footer"/>
              <w:jc w:val="center"/>
              <w:rPr>
                <w:rFonts w:ascii="Garamond" w:hAnsi="Garamond"/>
                <w:sz w:val="20"/>
                <w:szCs w:val="20"/>
              </w:rPr>
            </w:pPr>
            <w:r w:rsidRPr="009F69FD">
              <w:rPr>
                <w:rFonts w:ascii="Garamond" w:hAnsi="Garamond"/>
                <w:sz w:val="20"/>
                <w:szCs w:val="20"/>
              </w:rPr>
              <w:t xml:space="preserve">Page </w:t>
            </w:r>
            <w:r w:rsidRPr="009F69FD">
              <w:rPr>
                <w:rFonts w:ascii="Garamond" w:hAnsi="Garamond"/>
                <w:b/>
                <w:bCs/>
                <w:sz w:val="20"/>
                <w:szCs w:val="20"/>
              </w:rPr>
              <w:fldChar w:fldCharType="begin"/>
            </w:r>
            <w:r w:rsidRPr="009F69FD">
              <w:rPr>
                <w:rFonts w:ascii="Garamond" w:hAnsi="Garamond"/>
                <w:b/>
                <w:bCs/>
                <w:sz w:val="20"/>
                <w:szCs w:val="20"/>
              </w:rPr>
              <w:instrText xml:space="preserve"> PAGE </w:instrText>
            </w:r>
            <w:r w:rsidRPr="009F69FD">
              <w:rPr>
                <w:rFonts w:ascii="Garamond" w:hAnsi="Garamond"/>
                <w:b/>
                <w:bCs/>
                <w:sz w:val="20"/>
                <w:szCs w:val="20"/>
              </w:rPr>
              <w:fldChar w:fldCharType="separate"/>
            </w:r>
            <w:r w:rsidR="00E52A5E">
              <w:rPr>
                <w:rFonts w:ascii="Garamond" w:hAnsi="Garamond"/>
                <w:b/>
                <w:bCs/>
                <w:noProof/>
                <w:sz w:val="20"/>
                <w:szCs w:val="20"/>
              </w:rPr>
              <w:t>2</w:t>
            </w:r>
            <w:r w:rsidRPr="009F69FD">
              <w:rPr>
                <w:rFonts w:ascii="Garamond" w:hAnsi="Garamond"/>
                <w:b/>
                <w:bCs/>
                <w:sz w:val="20"/>
                <w:szCs w:val="20"/>
              </w:rPr>
              <w:fldChar w:fldCharType="end"/>
            </w:r>
            <w:r w:rsidRPr="009F69FD">
              <w:rPr>
                <w:rFonts w:ascii="Garamond" w:hAnsi="Garamond"/>
                <w:sz w:val="20"/>
                <w:szCs w:val="20"/>
              </w:rPr>
              <w:t xml:space="preserve"> of 7</w:t>
            </w:r>
          </w:p>
        </w:sdtContent>
      </w:sdt>
    </w:sdtContent>
  </w:sdt>
  <w:p w:rsidR="00127FC0" w:rsidRPr="009F69FD" w:rsidRDefault="00127FC0" w:rsidP="00127FC0">
    <w:pPr>
      <w:pStyle w:val="Footer"/>
      <w:jc w:val="center"/>
      <w:rPr>
        <w:rFonts w:ascii="Garamond" w:hAnsi="Garamon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0" w:rsidRDefault="000A789A">
    <w:pPr>
      <w:pStyle w:val="Footer"/>
      <w:jc w:val="center"/>
    </w:pPr>
    <w:r w:rsidRPr="003C3457">
      <w:rPr>
        <w:noProof/>
      </w:rPr>
      <mc:AlternateContent>
        <mc:Choice Requires="wps">
          <w:drawing>
            <wp:anchor distT="0" distB="0" distL="114300" distR="114300" simplePos="0" relativeHeight="251668480" behindDoc="0" locked="0" layoutInCell="1" allowOverlap="1" wp14:anchorId="03CBED71" wp14:editId="4160ACD7">
              <wp:simplePos x="0" y="0"/>
              <wp:positionH relativeFrom="page">
                <wp:posOffset>678180</wp:posOffset>
              </wp:positionH>
              <wp:positionV relativeFrom="page">
                <wp:posOffset>9148017</wp:posOffset>
              </wp:positionV>
              <wp:extent cx="6858000" cy="6400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858000" cy="640080"/>
                      </a:xfrm>
                      <a:prstGeom prst="rect">
                        <a:avLst/>
                      </a:prstGeom>
                      <a:noFill/>
                      <a:ln w="6350">
                        <a:noFill/>
                      </a:ln>
                      <a:effectLst/>
                    </wps:spPr>
                    <wps:txbx>
                      <w:txbxContent>
                        <w:p w:rsidR="000A789A" w:rsidRPr="00460D1B" w:rsidRDefault="000A789A" w:rsidP="000A789A">
                          <w:pPr>
                            <w:pBdr>
                              <w:top w:val="single" w:sz="8" w:space="1" w:color="auto"/>
                            </w:pBdr>
                            <w:tabs>
                              <w:tab w:val="left" w:pos="9900"/>
                            </w:tabs>
                            <w:ind w:right="20"/>
                            <w:rPr>
                              <w:rFonts w:ascii="Garamond" w:hAnsi="Garamond"/>
                              <w:spacing w:val="10"/>
                            </w:rPr>
                          </w:pPr>
                          <w:r w:rsidRPr="00460D1B">
                            <w:rPr>
                              <w:rFonts w:ascii="Garamond" w:hAnsi="Garamond"/>
                              <w:spacing w:val="10"/>
                            </w:rPr>
                            <w:t>English (415) 554-4375</w:t>
                          </w:r>
                          <w:r w:rsidRPr="00AC32DA">
                            <w:rPr>
                              <w:rFonts w:ascii="Garamond" w:hAnsi="Garamond"/>
                            </w:rPr>
                            <w:t xml:space="preserve">                       </w:t>
                          </w:r>
                          <w:r w:rsidRPr="00460D1B">
                            <w:rPr>
                              <w:rFonts w:ascii="Garamond" w:hAnsi="Garamond"/>
                              <w:i/>
                              <w:spacing w:val="10"/>
                            </w:rPr>
                            <w:t xml:space="preserve">                  </w:t>
                          </w:r>
                          <w:r>
                            <w:rPr>
                              <w:rFonts w:ascii="Garamond" w:hAnsi="Garamond"/>
                              <w:i/>
                              <w:spacing w:val="10"/>
                            </w:rPr>
                            <w:t xml:space="preserve">         </w:t>
                          </w:r>
                          <w:r w:rsidRPr="00460D1B">
                            <w:rPr>
                              <w:rFonts w:ascii="Garamond" w:hAnsi="Garamond"/>
                              <w:i/>
                              <w:spacing w:val="10"/>
                            </w:rPr>
                            <w:t xml:space="preserve"> </w:t>
                          </w:r>
                          <w:r w:rsidRPr="00AC32DA">
                            <w:rPr>
                              <w:rFonts w:ascii="Garamond" w:hAnsi="Garamond"/>
                              <w:i/>
                              <w:spacing w:val="10"/>
                            </w:rPr>
                            <w:t>sfelections.org</w:t>
                          </w:r>
                          <w:r>
                            <w:rPr>
                              <w:rFonts w:ascii="Garamond" w:hAnsi="Garamond"/>
                              <w:i/>
                              <w:spacing w:val="10"/>
                            </w:rPr>
                            <w:t xml:space="preserve">                                 </w:t>
                          </w:r>
                          <w:r>
                            <w:rPr>
                              <w:rFonts w:ascii="Garamond" w:hAnsi="Garamond"/>
                            </w:rPr>
                            <w:t xml:space="preserve"> </w:t>
                          </w:r>
                          <w:r w:rsidRPr="007604C8">
                            <w:rPr>
                              <w:rFonts w:ascii="Garamond" w:hAnsi="Garamond"/>
                              <w:b/>
                            </w:rPr>
                            <w:t xml:space="preserve">  </w:t>
                          </w:r>
                          <w:r>
                            <w:rPr>
                              <w:rFonts w:ascii="Garamond" w:hAnsi="Garamond"/>
                              <w:b/>
                            </w:rPr>
                            <w:t xml:space="preserve">       </w:t>
                          </w:r>
                          <w:r w:rsidRPr="007604C8">
                            <w:rPr>
                              <w:rFonts w:ascii="Garamond" w:hAnsi="Garamond"/>
                              <w:b/>
                            </w:rPr>
                            <w:t xml:space="preserve"> </w:t>
                          </w:r>
                          <w:r>
                            <w:rPr>
                              <w:rFonts w:ascii="Garamond" w:hAnsi="Garamond"/>
                              <w:b/>
                            </w:rPr>
                            <w:t xml:space="preserve">             </w:t>
                          </w:r>
                          <w:hyperlink r:id="rId1" w:history="1">
                            <w:r w:rsidRPr="00460D1B">
                              <w:rPr>
                                <w:rStyle w:val="Hyperlink"/>
                                <w:rFonts w:ascii="Garamond" w:eastAsia="MS Gothic" w:hAnsi="Garamond" w:cs="MS Gothic"/>
                                <w:b w:val="0"/>
                                <w:spacing w:val="10"/>
                                <w:u w:val="none"/>
                                <w:lang w:eastAsia="zh-CN"/>
                              </w:rPr>
                              <w:t>中文</w:t>
                            </w:r>
                          </w:hyperlink>
                          <w:r w:rsidRPr="00460D1B">
                            <w:rPr>
                              <w:rFonts w:ascii="Garamond" w:hAnsi="Garamond"/>
                              <w:b/>
                              <w:spacing w:val="10"/>
                            </w:rPr>
                            <w:t xml:space="preserve"> </w:t>
                          </w:r>
                          <w:r w:rsidRPr="00460D1B">
                            <w:rPr>
                              <w:rFonts w:ascii="Garamond" w:hAnsi="Garamond"/>
                              <w:spacing w:val="10"/>
                            </w:rPr>
                            <w:t>(415) 554-4367</w:t>
                          </w:r>
                          <w:r>
                            <w:rPr>
                              <w:rFonts w:ascii="Garamond" w:hAnsi="Garamond"/>
                            </w:rPr>
                            <w:br/>
                          </w:r>
                          <w:r w:rsidRPr="00460D1B">
                            <w:rPr>
                              <w:rFonts w:ascii="Garamond" w:hAnsi="Garamond"/>
                              <w:spacing w:val="10"/>
                            </w:rPr>
                            <w:t xml:space="preserve">Fax (415) 554-7344                                    1 Dr. Carlton B. </w:t>
                          </w:r>
                          <w:proofErr w:type="spellStart"/>
                          <w:r w:rsidRPr="00460D1B">
                            <w:rPr>
                              <w:rFonts w:ascii="Garamond" w:hAnsi="Garamond"/>
                              <w:spacing w:val="10"/>
                            </w:rPr>
                            <w:t>Goodlett</w:t>
                          </w:r>
                          <w:proofErr w:type="spellEnd"/>
                          <w:r w:rsidRPr="00460D1B">
                            <w:rPr>
                              <w:rFonts w:ascii="Garamond" w:hAnsi="Garamond"/>
                              <w:spacing w:val="10"/>
                            </w:rPr>
                            <w:t xml:space="preserve"> Place                                </w:t>
                          </w:r>
                          <w:proofErr w:type="spellStart"/>
                          <w:r w:rsidRPr="00460D1B">
                            <w:rPr>
                              <w:rFonts w:ascii="Garamond" w:hAnsi="Garamond"/>
                              <w:spacing w:val="10"/>
                            </w:rPr>
                            <w:t>Español</w:t>
                          </w:r>
                          <w:proofErr w:type="spellEnd"/>
                          <w:r w:rsidRPr="00460D1B">
                            <w:rPr>
                              <w:rFonts w:ascii="Garamond" w:hAnsi="Garamond"/>
                              <w:spacing w:val="10"/>
                            </w:rPr>
                            <w:t xml:space="preserve"> (415) 554-4366</w:t>
                          </w:r>
                        </w:p>
                        <w:p w:rsidR="000A789A" w:rsidRPr="00AC32DA" w:rsidRDefault="000A789A" w:rsidP="000A789A">
                          <w:pPr>
                            <w:rPr>
                              <w:rFonts w:ascii="Garamond" w:hAnsi="Garamond"/>
                            </w:rPr>
                          </w:pPr>
                          <w:r w:rsidRPr="00460D1B">
                            <w:rPr>
                              <w:rFonts w:ascii="Garamond" w:hAnsi="Garamond"/>
                              <w:spacing w:val="10"/>
                            </w:rPr>
                            <w:t>TTY (415) 554-4386</w:t>
                          </w:r>
                          <w:r w:rsidRPr="00AC32DA">
                            <w:rPr>
                              <w:rFonts w:ascii="Garamond" w:hAnsi="Garamond"/>
                              <w:i/>
                              <w:spacing w:val="10"/>
                            </w:rPr>
                            <w:t xml:space="preserve">                            </w:t>
                          </w:r>
                          <w:r w:rsidRPr="00460D1B">
                            <w:rPr>
                              <w:rFonts w:ascii="Garamond" w:hAnsi="Garamond"/>
                              <w:spacing w:val="10"/>
                            </w:rPr>
                            <w:t>City Hall, Room 48, San Francisco, CA 94102</w:t>
                          </w:r>
                          <w:r w:rsidRPr="00AC32DA">
                            <w:rPr>
                              <w:rFonts w:ascii="Garamond" w:hAnsi="Garamond"/>
                            </w:rPr>
                            <w:t xml:space="preserve">     </w:t>
                          </w:r>
                          <w:r w:rsidRPr="00460D1B">
                            <w:rPr>
                              <w:rFonts w:ascii="Garamond" w:hAnsi="Garamond"/>
                              <w:spacing w:val="10"/>
                            </w:rPr>
                            <w:t xml:space="preserve">               </w:t>
                          </w:r>
                          <w:r>
                            <w:rPr>
                              <w:rFonts w:ascii="Garamond" w:hAnsi="Garamond"/>
                              <w:spacing w:val="10"/>
                            </w:rPr>
                            <w:t>Filipino</w:t>
                          </w:r>
                          <w:r w:rsidRPr="00460D1B">
                            <w:rPr>
                              <w:rFonts w:ascii="Garamond" w:hAnsi="Garamond"/>
                            </w:rPr>
                            <w:t xml:space="preserve"> </w:t>
                          </w:r>
                          <w:r>
                            <w:rPr>
                              <w:rFonts w:ascii="Garamond" w:hAnsi="Garamond"/>
                              <w:spacing w:val="10"/>
                            </w:rPr>
                            <w:t>(</w:t>
                          </w:r>
                          <w:r w:rsidRPr="00460D1B">
                            <w:rPr>
                              <w:rFonts w:ascii="Garamond" w:hAnsi="Garamond"/>
                              <w:spacing w:val="10"/>
                            </w:rPr>
                            <w:t>415</w:t>
                          </w:r>
                          <w:r>
                            <w:rPr>
                              <w:rFonts w:ascii="Garamond" w:hAnsi="Garamond"/>
                              <w:spacing w:val="10"/>
                            </w:rPr>
                            <w:t xml:space="preserve">) </w:t>
                          </w:r>
                          <w:r w:rsidRPr="00460D1B">
                            <w:rPr>
                              <w:rFonts w:ascii="Garamond" w:hAnsi="Garamond"/>
                              <w:spacing w:val="10"/>
                            </w:rPr>
                            <w:t>554-4310</w:t>
                          </w:r>
                        </w:p>
                        <w:p w:rsidR="000A789A" w:rsidRDefault="000A789A" w:rsidP="000A789A"/>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4pt;margin-top:720.3pt;width:540pt;height:5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" filled="f" stroked="f" strokeweight=".5pt">
              <v:textbox inset="3.6pt,,3.6pt">
                <w:txbxContent>
                  <w:p w:rsidR="000A789A" w:rsidRPr="00460D1B" w:rsidRDefault="000A789A" w:rsidP="000A789A">
                    <w:pPr>
                      <w:pBdr>
                        <w:top w:val="single" w:sz="8" w:space="1" w:color="auto"/>
                      </w:pBdr>
                      <w:tabs>
                        <w:tab w:val="left" w:pos="9900"/>
                      </w:tabs>
                      <w:ind w:right="20"/>
                      <w:rPr>
                        <w:rFonts w:ascii="Garamond" w:hAnsi="Garamond"/>
                        <w:spacing w:val="10"/>
                      </w:rPr>
                    </w:pPr>
                    <w:r w:rsidRPr="00460D1B">
                      <w:rPr>
                        <w:rFonts w:ascii="Garamond" w:hAnsi="Garamond"/>
                        <w:spacing w:val="10"/>
                      </w:rPr>
                      <w:t>English (415) 554-4375</w:t>
                    </w:r>
                    <w:r w:rsidRPr="00AC32DA">
                      <w:rPr>
                        <w:rFonts w:ascii="Garamond" w:hAnsi="Garamond"/>
                      </w:rPr>
                      <w:t xml:space="preserve">                       </w:t>
                    </w:r>
                    <w:r w:rsidRPr="00460D1B">
                      <w:rPr>
                        <w:rFonts w:ascii="Garamond" w:hAnsi="Garamond"/>
                        <w:i/>
                        <w:spacing w:val="10"/>
                      </w:rPr>
                      <w:t xml:space="preserve">                  </w:t>
                    </w:r>
                    <w:r>
                      <w:rPr>
                        <w:rFonts w:ascii="Garamond" w:hAnsi="Garamond"/>
                        <w:i/>
                        <w:spacing w:val="10"/>
                      </w:rPr>
                      <w:t xml:space="preserve">         </w:t>
                    </w:r>
                    <w:r w:rsidRPr="00460D1B">
                      <w:rPr>
                        <w:rFonts w:ascii="Garamond" w:hAnsi="Garamond"/>
                        <w:i/>
                        <w:spacing w:val="10"/>
                      </w:rPr>
                      <w:t xml:space="preserve"> </w:t>
                    </w:r>
                    <w:r w:rsidRPr="00AC32DA">
                      <w:rPr>
                        <w:rFonts w:ascii="Garamond" w:hAnsi="Garamond"/>
                        <w:i/>
                        <w:spacing w:val="10"/>
                      </w:rPr>
                      <w:t>sfelections.org</w:t>
                    </w:r>
                    <w:r>
                      <w:rPr>
                        <w:rFonts w:ascii="Garamond" w:hAnsi="Garamond"/>
                        <w:i/>
                        <w:spacing w:val="10"/>
                      </w:rPr>
                      <w:t xml:space="preserve">                                 </w:t>
                    </w:r>
                    <w:r>
                      <w:rPr>
                        <w:rFonts w:ascii="Garamond" w:hAnsi="Garamond"/>
                      </w:rPr>
                      <w:t xml:space="preserve"> </w:t>
                    </w:r>
                    <w:r w:rsidRPr="007604C8">
                      <w:rPr>
                        <w:rFonts w:ascii="Garamond" w:hAnsi="Garamond"/>
                        <w:b/>
                      </w:rPr>
                      <w:t xml:space="preserve">  </w:t>
                    </w:r>
                    <w:r>
                      <w:rPr>
                        <w:rFonts w:ascii="Garamond" w:hAnsi="Garamond"/>
                        <w:b/>
                      </w:rPr>
                      <w:t xml:space="preserve">       </w:t>
                    </w:r>
                    <w:r w:rsidRPr="007604C8">
                      <w:rPr>
                        <w:rFonts w:ascii="Garamond" w:hAnsi="Garamond"/>
                        <w:b/>
                      </w:rPr>
                      <w:t xml:space="preserve"> </w:t>
                    </w:r>
                    <w:r>
                      <w:rPr>
                        <w:rFonts w:ascii="Garamond" w:hAnsi="Garamond"/>
                        <w:b/>
                      </w:rPr>
                      <w:t xml:space="preserve">             </w:t>
                    </w:r>
                    <w:hyperlink r:id="rId2" w:history="1">
                      <w:r w:rsidRPr="00460D1B">
                        <w:rPr>
                          <w:rStyle w:val="Hyperlink"/>
                          <w:rFonts w:ascii="Garamond" w:eastAsia="MS Gothic" w:hAnsi="Garamond" w:cs="MS Gothic"/>
                          <w:b w:val="0"/>
                          <w:spacing w:val="10"/>
                          <w:u w:val="none"/>
                          <w:lang w:eastAsia="zh-CN"/>
                        </w:rPr>
                        <w:t>中文</w:t>
                      </w:r>
                    </w:hyperlink>
                    <w:r w:rsidRPr="00460D1B">
                      <w:rPr>
                        <w:rFonts w:ascii="Garamond" w:hAnsi="Garamond"/>
                        <w:b/>
                        <w:spacing w:val="10"/>
                      </w:rPr>
                      <w:t xml:space="preserve"> </w:t>
                    </w:r>
                    <w:r w:rsidRPr="00460D1B">
                      <w:rPr>
                        <w:rFonts w:ascii="Garamond" w:hAnsi="Garamond"/>
                        <w:spacing w:val="10"/>
                      </w:rPr>
                      <w:t>(415) 554-4367</w:t>
                    </w:r>
                    <w:r>
                      <w:rPr>
                        <w:rFonts w:ascii="Garamond" w:hAnsi="Garamond"/>
                      </w:rPr>
                      <w:br/>
                    </w:r>
                    <w:r w:rsidRPr="00460D1B">
                      <w:rPr>
                        <w:rFonts w:ascii="Garamond" w:hAnsi="Garamond"/>
                        <w:spacing w:val="10"/>
                      </w:rPr>
                      <w:t xml:space="preserve">Fax (415) 554-7344                                    1 Dr. Carlton B. </w:t>
                    </w:r>
                    <w:proofErr w:type="spellStart"/>
                    <w:r w:rsidRPr="00460D1B">
                      <w:rPr>
                        <w:rFonts w:ascii="Garamond" w:hAnsi="Garamond"/>
                        <w:spacing w:val="10"/>
                      </w:rPr>
                      <w:t>Goodlett</w:t>
                    </w:r>
                    <w:proofErr w:type="spellEnd"/>
                    <w:r w:rsidRPr="00460D1B">
                      <w:rPr>
                        <w:rFonts w:ascii="Garamond" w:hAnsi="Garamond"/>
                        <w:spacing w:val="10"/>
                      </w:rPr>
                      <w:t xml:space="preserve"> Place                                </w:t>
                    </w:r>
                    <w:proofErr w:type="spellStart"/>
                    <w:r w:rsidRPr="00460D1B">
                      <w:rPr>
                        <w:rFonts w:ascii="Garamond" w:hAnsi="Garamond"/>
                        <w:spacing w:val="10"/>
                      </w:rPr>
                      <w:t>Español</w:t>
                    </w:r>
                    <w:proofErr w:type="spellEnd"/>
                    <w:r w:rsidRPr="00460D1B">
                      <w:rPr>
                        <w:rFonts w:ascii="Garamond" w:hAnsi="Garamond"/>
                        <w:spacing w:val="10"/>
                      </w:rPr>
                      <w:t xml:space="preserve"> (415) 554-4366</w:t>
                    </w:r>
                  </w:p>
                  <w:p w:rsidR="000A789A" w:rsidRPr="00AC32DA" w:rsidRDefault="000A789A" w:rsidP="000A789A">
                    <w:pPr>
                      <w:rPr>
                        <w:rFonts w:ascii="Garamond" w:hAnsi="Garamond"/>
                      </w:rPr>
                    </w:pPr>
                    <w:r w:rsidRPr="00460D1B">
                      <w:rPr>
                        <w:rFonts w:ascii="Garamond" w:hAnsi="Garamond"/>
                        <w:spacing w:val="10"/>
                      </w:rPr>
                      <w:t>TTY (415) 554-4386</w:t>
                    </w:r>
                    <w:r w:rsidRPr="00AC32DA">
                      <w:rPr>
                        <w:rFonts w:ascii="Garamond" w:hAnsi="Garamond"/>
                        <w:i/>
                        <w:spacing w:val="10"/>
                      </w:rPr>
                      <w:t xml:space="preserve">                            </w:t>
                    </w:r>
                    <w:r w:rsidRPr="00460D1B">
                      <w:rPr>
                        <w:rFonts w:ascii="Garamond" w:hAnsi="Garamond"/>
                        <w:spacing w:val="10"/>
                      </w:rPr>
                      <w:t>City Hall, Room 48, San Francisco, CA 94102</w:t>
                    </w:r>
                    <w:r w:rsidRPr="00AC32DA">
                      <w:rPr>
                        <w:rFonts w:ascii="Garamond" w:hAnsi="Garamond"/>
                      </w:rPr>
                      <w:t xml:space="preserve">     </w:t>
                    </w:r>
                    <w:r w:rsidRPr="00460D1B">
                      <w:rPr>
                        <w:rFonts w:ascii="Garamond" w:hAnsi="Garamond"/>
                        <w:spacing w:val="10"/>
                      </w:rPr>
                      <w:t xml:space="preserve">               </w:t>
                    </w:r>
                    <w:r>
                      <w:rPr>
                        <w:rFonts w:ascii="Garamond" w:hAnsi="Garamond"/>
                        <w:spacing w:val="10"/>
                      </w:rPr>
                      <w:t>Filipino</w:t>
                    </w:r>
                    <w:r w:rsidRPr="00460D1B">
                      <w:rPr>
                        <w:rFonts w:ascii="Garamond" w:hAnsi="Garamond"/>
                      </w:rPr>
                      <w:t xml:space="preserve"> </w:t>
                    </w:r>
                    <w:r>
                      <w:rPr>
                        <w:rFonts w:ascii="Garamond" w:hAnsi="Garamond"/>
                        <w:spacing w:val="10"/>
                      </w:rPr>
                      <w:t>(</w:t>
                    </w:r>
                    <w:r w:rsidRPr="00460D1B">
                      <w:rPr>
                        <w:rFonts w:ascii="Garamond" w:hAnsi="Garamond"/>
                        <w:spacing w:val="10"/>
                      </w:rPr>
                      <w:t>415</w:t>
                    </w:r>
                    <w:r>
                      <w:rPr>
                        <w:rFonts w:ascii="Garamond" w:hAnsi="Garamond"/>
                        <w:spacing w:val="10"/>
                      </w:rPr>
                      <w:t xml:space="preserve">) </w:t>
                    </w:r>
                    <w:r w:rsidRPr="00460D1B">
                      <w:rPr>
                        <w:rFonts w:ascii="Garamond" w:hAnsi="Garamond"/>
                        <w:spacing w:val="10"/>
                      </w:rPr>
                      <w:t>554-4310</w:t>
                    </w:r>
                  </w:p>
                  <w:p w:rsidR="000A789A" w:rsidRDefault="000A789A" w:rsidP="000A789A"/>
                </w:txbxContent>
              </v:textbox>
              <w10:wrap anchorx="page" anchory="page"/>
            </v:shape>
          </w:pict>
        </mc:Fallback>
      </mc:AlternateContent>
    </w:r>
  </w:p>
  <w:p w:rsidR="00127FC0" w:rsidRDefault="00127FC0" w:rsidP="00127FC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FD" w:rsidRDefault="009F69FD">
    <w:pPr>
      <w:pStyle w:val="Footer"/>
      <w:jc w:val="center"/>
    </w:pPr>
  </w:p>
  <w:p w:rsidR="009F69FD" w:rsidRDefault="009F69FD" w:rsidP="00127FC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FD" w:rsidRDefault="009F69FD">
    <w:pPr>
      <w:pStyle w:val="Footer"/>
      <w:jc w:val="center"/>
    </w:pPr>
  </w:p>
  <w:p w:rsidR="009F69FD" w:rsidRDefault="009F69FD" w:rsidP="00127F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57" w:rsidRDefault="003C3457" w:rsidP="003C3457">
      <w:r>
        <w:separator/>
      </w:r>
    </w:p>
  </w:footnote>
  <w:footnote w:type="continuationSeparator" w:id="0">
    <w:p w:rsidR="003C3457" w:rsidRDefault="003C3457" w:rsidP="003C3457">
      <w:r>
        <w:continuationSeparator/>
      </w:r>
    </w:p>
  </w:footnote>
  <w:footnote w:id="1">
    <w:p w:rsidR="00924ABA" w:rsidRDefault="00924ABA" w:rsidP="00924ABA">
      <w:pPr>
        <w:pStyle w:val="FootnoteText"/>
        <w:rPr>
          <w:rFonts w:ascii="Arial Narrow" w:hAnsi="Arial Narrow" w:cs="Arial"/>
          <w:spacing w:val="0"/>
        </w:rPr>
      </w:pPr>
      <w:r w:rsidRPr="00C82375">
        <w:rPr>
          <w:rStyle w:val="FootnoteReference"/>
          <w:rFonts w:ascii="Arial Narrow" w:hAnsi="Arial Narrow"/>
        </w:rPr>
        <w:footnoteRef/>
      </w:r>
      <w:r w:rsidRPr="00C82375">
        <w:rPr>
          <w:rFonts w:ascii="Arial Narrow" w:hAnsi="Arial Narrow"/>
        </w:rPr>
        <w:t xml:space="preserve"> </w:t>
      </w:r>
      <w:r w:rsidRPr="00C82375">
        <w:rPr>
          <w:rFonts w:ascii="Arial Narrow" w:hAnsi="Arial Narrow" w:cs="Arial"/>
          <w:spacing w:val="0"/>
        </w:rPr>
        <w:t>For elections for seats on the Community College Board, the City and CCD have a standing agreement by which CCD is bound to pay half of the estimated costs in July of the year in which the Board election occurs and the remaining costs in July of the following year.</w:t>
      </w:r>
    </w:p>
    <w:p w:rsidR="00DE61C7" w:rsidRPr="00C82375" w:rsidRDefault="00DE61C7" w:rsidP="00924ABA">
      <w:pPr>
        <w:pStyle w:val="FootnoteText"/>
        <w:rPr>
          <w:rFonts w:ascii="Arial Narrow" w:hAnsi="Arial Narrow"/>
        </w:rPr>
      </w:pPr>
    </w:p>
  </w:footnote>
  <w:footnote w:id="2">
    <w:p w:rsidR="00494AAA" w:rsidRPr="00C82375" w:rsidRDefault="00494AAA" w:rsidP="00494AAA">
      <w:pPr>
        <w:rPr>
          <w:rFonts w:ascii="Arial Narrow" w:hAnsi="Arial Narrow"/>
          <w:sz w:val="24"/>
          <w:szCs w:val="24"/>
        </w:rPr>
      </w:pPr>
      <w:r w:rsidRPr="00C82375">
        <w:rPr>
          <w:rStyle w:val="FootnoteReference"/>
          <w:rFonts w:ascii="Arial Narrow" w:hAnsi="Arial Narrow"/>
        </w:rPr>
        <w:footnoteRef/>
      </w:r>
      <w:r w:rsidRPr="00C82375">
        <w:rPr>
          <w:rFonts w:ascii="Arial Narrow" w:hAnsi="Arial Narrow"/>
        </w:rPr>
        <w:t xml:space="preserve"> The PPACA requires employers to provide health coverage to most </w:t>
      </w:r>
      <w:r w:rsidR="00460B97" w:rsidRPr="00C82375">
        <w:rPr>
          <w:rFonts w:ascii="Arial Narrow" w:hAnsi="Arial Narrow"/>
        </w:rPr>
        <w:t>full</w:t>
      </w:r>
      <w:r w:rsidR="00460B97">
        <w:rPr>
          <w:rFonts w:ascii="Arial Narrow" w:hAnsi="Arial Narrow"/>
        </w:rPr>
        <w:t>-</w:t>
      </w:r>
      <w:r w:rsidRPr="00C82375">
        <w:rPr>
          <w:rFonts w:ascii="Arial Narrow" w:hAnsi="Arial Narrow"/>
        </w:rPr>
        <w:t xml:space="preserve">time employees.  Upon review of the PPACA and related regulations, the City has concluded that it must make coverage available, immediately upon appointment, to temporary exempt </w:t>
      </w:r>
      <w:r w:rsidR="00460B97" w:rsidRPr="00C82375">
        <w:rPr>
          <w:rFonts w:ascii="Arial Narrow" w:hAnsi="Arial Narrow"/>
        </w:rPr>
        <w:t>full</w:t>
      </w:r>
      <w:r w:rsidR="00460B97">
        <w:rPr>
          <w:rFonts w:ascii="Arial Narrow" w:hAnsi="Arial Narrow"/>
        </w:rPr>
        <w:t>-</w:t>
      </w:r>
      <w:r w:rsidRPr="00C82375">
        <w:rPr>
          <w:rFonts w:ascii="Arial Narrow" w:hAnsi="Arial Narrow"/>
        </w:rPr>
        <w:t xml:space="preserve">time and </w:t>
      </w:r>
      <w:r w:rsidR="00460B97" w:rsidRPr="00C82375">
        <w:rPr>
          <w:rFonts w:ascii="Arial Narrow" w:hAnsi="Arial Narrow"/>
        </w:rPr>
        <w:t>part</w:t>
      </w:r>
      <w:r w:rsidR="00460B97">
        <w:rPr>
          <w:rFonts w:ascii="Arial Narrow" w:hAnsi="Arial Narrow"/>
        </w:rPr>
        <w:t>-</w:t>
      </w:r>
      <w:r w:rsidRPr="00C82375">
        <w:rPr>
          <w:rFonts w:ascii="Arial Narrow" w:hAnsi="Arial Narrow"/>
        </w:rPr>
        <w:t xml:space="preserve">time employees, provided they are regularly scheduled to work 20 hours or more </w:t>
      </w:r>
      <w:r w:rsidR="00E45F20">
        <w:rPr>
          <w:rFonts w:ascii="Arial Narrow" w:hAnsi="Arial Narrow"/>
        </w:rPr>
        <w:t>per</w:t>
      </w:r>
      <w:r w:rsidR="00E45F20" w:rsidRPr="00C82375">
        <w:rPr>
          <w:rFonts w:ascii="Arial Narrow" w:hAnsi="Arial Narrow"/>
        </w:rPr>
        <w:t xml:space="preserve"> </w:t>
      </w:r>
      <w:r w:rsidRPr="00C82375">
        <w:rPr>
          <w:rFonts w:ascii="Arial Narrow" w:hAnsi="Arial Narrow"/>
        </w:rPr>
        <w:t xml:space="preserve">week. </w:t>
      </w:r>
    </w:p>
    <w:p w:rsidR="00494AAA" w:rsidRPr="00C82375" w:rsidRDefault="00494AAA" w:rsidP="00494AAA">
      <w:pPr>
        <w:pStyle w:val="FootnoteText"/>
        <w:rPr>
          <w:rFonts w:ascii="Arial Narrow" w:hAnsi="Arial Narrow"/>
        </w:rPr>
      </w:pPr>
    </w:p>
  </w:footnote>
  <w:footnote w:id="3">
    <w:p w:rsidR="00924ABA" w:rsidRDefault="00924ABA" w:rsidP="00C82375">
      <w:pPr>
        <w:autoSpaceDE w:val="0"/>
        <w:autoSpaceDN w:val="0"/>
        <w:adjustRightInd w:val="0"/>
        <w:rPr>
          <w:rFonts w:ascii="Arial Narrow" w:hAnsi="Arial Narrow"/>
        </w:rPr>
      </w:pPr>
      <w:r w:rsidRPr="00C82375">
        <w:rPr>
          <w:rStyle w:val="FootnoteReference"/>
          <w:rFonts w:ascii="Arial Narrow" w:hAnsi="Arial Narrow"/>
        </w:rPr>
        <w:footnoteRef/>
      </w:r>
      <w:r w:rsidRPr="00C82375">
        <w:rPr>
          <w:rFonts w:ascii="Arial Narrow" w:hAnsi="Arial Narrow"/>
        </w:rPr>
        <w:t xml:space="preserve"> </w:t>
      </w:r>
      <w:r w:rsidRPr="00C82375">
        <w:rPr>
          <w:rFonts w:ascii="Arial Narrow" w:hAnsi="Arial Narrow" w:cs="Arial"/>
          <w:spacing w:val="0"/>
        </w:rPr>
        <w:t xml:space="preserve">The Department has </w:t>
      </w:r>
      <w:r w:rsidR="00091B15" w:rsidRPr="00C82375">
        <w:rPr>
          <w:rFonts w:ascii="Arial Narrow" w:hAnsi="Arial Narrow" w:cs="Arial"/>
          <w:spacing w:val="0"/>
        </w:rPr>
        <w:t>contract</w:t>
      </w:r>
      <w:r w:rsidR="00091B15">
        <w:rPr>
          <w:rFonts w:ascii="Arial Narrow" w:hAnsi="Arial Narrow" w:cs="Arial"/>
          <w:spacing w:val="0"/>
        </w:rPr>
        <w:t>ed</w:t>
      </w:r>
      <w:r w:rsidR="00091B15" w:rsidRPr="00C82375">
        <w:rPr>
          <w:rFonts w:ascii="Arial Narrow" w:hAnsi="Arial Narrow" w:cs="Arial"/>
          <w:spacing w:val="0"/>
        </w:rPr>
        <w:t xml:space="preserve"> </w:t>
      </w:r>
      <w:r w:rsidRPr="00C82375">
        <w:rPr>
          <w:rFonts w:ascii="Arial Narrow" w:hAnsi="Arial Narrow" w:cs="Arial"/>
          <w:spacing w:val="0"/>
        </w:rPr>
        <w:t xml:space="preserve">out the assembly and preparation of vote-by-mail ballot packets </w:t>
      </w:r>
      <w:r w:rsidR="00BA4F2D">
        <w:rPr>
          <w:rFonts w:ascii="Arial Narrow" w:hAnsi="Arial Narrow" w:cs="Arial"/>
          <w:spacing w:val="0"/>
        </w:rPr>
        <w:t xml:space="preserve">under Prop J </w:t>
      </w:r>
      <w:r w:rsidRPr="00C82375">
        <w:rPr>
          <w:rFonts w:ascii="Arial Narrow" w:hAnsi="Arial Narrow" w:cs="Arial"/>
          <w:spacing w:val="0"/>
        </w:rPr>
        <w:t xml:space="preserve">since FY 2007-08. The Department's contracting of these services in FY 2015-16 </w:t>
      </w:r>
      <w:proofErr w:type="gramStart"/>
      <w:r w:rsidRPr="00C82375">
        <w:rPr>
          <w:rFonts w:ascii="Arial Narrow" w:hAnsi="Arial Narrow" w:cs="Arial"/>
          <w:spacing w:val="0"/>
        </w:rPr>
        <w:t>was</w:t>
      </w:r>
      <w:proofErr w:type="gramEnd"/>
      <w:r w:rsidRPr="00C82375">
        <w:rPr>
          <w:rFonts w:ascii="Arial Narrow" w:hAnsi="Arial Narrow" w:cs="Arial"/>
          <w:spacing w:val="0"/>
        </w:rPr>
        <w:t xml:space="preserve"> approved during last year’s budget cycle and </w:t>
      </w:r>
      <w:r w:rsidR="00C430AE">
        <w:rPr>
          <w:rFonts w:ascii="Arial Narrow" w:hAnsi="Arial Narrow" w:cs="Arial"/>
          <w:spacing w:val="0"/>
        </w:rPr>
        <w:t xml:space="preserve">the </w:t>
      </w:r>
      <w:r w:rsidRPr="00C82375">
        <w:rPr>
          <w:rFonts w:ascii="Arial Narrow" w:hAnsi="Arial Narrow" w:cs="Arial"/>
          <w:spacing w:val="0"/>
        </w:rPr>
        <w:t>assumptions</w:t>
      </w:r>
      <w:r w:rsidR="00091B15">
        <w:rPr>
          <w:rFonts w:ascii="Arial Narrow" w:hAnsi="Arial Narrow" w:cs="Arial"/>
          <w:spacing w:val="0"/>
        </w:rPr>
        <w:t xml:space="preserve"> </w:t>
      </w:r>
      <w:r w:rsidR="00C430AE">
        <w:rPr>
          <w:rFonts w:ascii="Arial Narrow" w:hAnsi="Arial Narrow" w:cs="Arial"/>
          <w:spacing w:val="0"/>
        </w:rPr>
        <w:t xml:space="preserve">and </w:t>
      </w:r>
      <w:r w:rsidRPr="00C82375">
        <w:rPr>
          <w:rFonts w:ascii="Arial Narrow" w:hAnsi="Arial Narrow" w:cs="Arial"/>
          <w:spacing w:val="0"/>
        </w:rPr>
        <w:t xml:space="preserve">costs </w:t>
      </w:r>
      <w:r w:rsidR="00C430AE">
        <w:rPr>
          <w:rFonts w:ascii="Arial Narrow" w:hAnsi="Arial Narrow" w:cs="Arial"/>
          <w:spacing w:val="0"/>
        </w:rPr>
        <w:t>remain the same</w:t>
      </w:r>
      <w:r w:rsidRPr="00C82375">
        <w:rPr>
          <w:rFonts w:ascii="Arial Narrow" w:hAnsi="Arial Narrow" w:cs="Arial"/>
          <w:spacing w:val="0"/>
        </w:rPr>
        <w:t>.</w:t>
      </w:r>
      <w:r w:rsidRPr="00C82375">
        <w:rPr>
          <w:rFonts w:ascii="Arial Narrow" w:hAnsi="Arial Narrow"/>
        </w:rPr>
        <w:t xml:space="preserve">  </w:t>
      </w:r>
    </w:p>
    <w:p w:rsidR="00BA4F2D" w:rsidRPr="00C82375" w:rsidRDefault="00BA4F2D" w:rsidP="00C82375">
      <w:pPr>
        <w:autoSpaceDE w:val="0"/>
        <w:autoSpaceDN w:val="0"/>
        <w:adjustRightInd w:val="0"/>
        <w:rPr>
          <w:rFonts w:ascii="Arial Narrow" w:hAnsi="Arial Narrow"/>
        </w:rPr>
      </w:pPr>
    </w:p>
  </w:footnote>
  <w:footnote w:id="4">
    <w:p w:rsidR="00924ABA" w:rsidRPr="00C82375" w:rsidRDefault="00924ABA" w:rsidP="00924ABA">
      <w:pPr>
        <w:rPr>
          <w:rFonts w:ascii="Arial Narrow" w:hAnsi="Arial Narrow"/>
        </w:rPr>
      </w:pPr>
      <w:r w:rsidRPr="00C82375">
        <w:rPr>
          <w:rStyle w:val="FootnoteReference"/>
          <w:rFonts w:ascii="Arial Narrow" w:hAnsi="Arial Narrow"/>
        </w:rPr>
        <w:footnoteRef/>
      </w:r>
      <w:r w:rsidRPr="00C82375">
        <w:rPr>
          <w:rFonts w:ascii="Arial Narrow" w:hAnsi="Arial Narrow"/>
        </w:rPr>
        <w:t xml:space="preserve"> For the November 2014 election, the Department rented an alternative space for five days for the staging of nearly 200 vehicles intended for use by Deputy Sheriffs to retrieve ballots and voting materials from voting sites after the close of the polls. This unexpected need for</w:t>
      </w:r>
      <w:r w:rsidR="00C31E39" w:rsidRPr="00C82375">
        <w:rPr>
          <w:rFonts w:ascii="Arial Narrow" w:hAnsi="Arial Narrow"/>
        </w:rPr>
        <w:t xml:space="preserve"> space resulted from the Giants</w:t>
      </w:r>
      <w:r w:rsidRPr="00C82375">
        <w:rPr>
          <w:rFonts w:ascii="Arial Narrow" w:hAnsi="Arial Narrow"/>
        </w:rPr>
        <w:t xml:space="preserve"> advancing to the World Series, which hindered the Department’s plans to use parking lots around Pier 48 (Lots A and C).     </w:t>
      </w:r>
    </w:p>
    <w:p w:rsidR="00924ABA" w:rsidRPr="00C82375" w:rsidRDefault="00924ABA" w:rsidP="00924ABA">
      <w:pPr>
        <w:pStyle w:val="FootnoteText"/>
        <w:rPr>
          <w:rFonts w:ascii="Arial Narrow" w:hAnsi="Arial Narrow"/>
        </w:rPr>
      </w:pPr>
    </w:p>
  </w:footnote>
  <w:footnote w:id="5">
    <w:p w:rsidR="00924ABA" w:rsidRPr="00C82375" w:rsidRDefault="00924ABA" w:rsidP="00924ABA">
      <w:pPr>
        <w:autoSpaceDE w:val="0"/>
        <w:autoSpaceDN w:val="0"/>
        <w:adjustRightInd w:val="0"/>
        <w:rPr>
          <w:rFonts w:ascii="Arial Narrow" w:hAnsi="Arial Narrow"/>
        </w:rPr>
      </w:pPr>
      <w:r w:rsidRPr="00C82375">
        <w:rPr>
          <w:rStyle w:val="FootnoteReference"/>
          <w:rFonts w:ascii="Arial Narrow" w:hAnsi="Arial Narrow" w:cs="Arial"/>
        </w:rPr>
        <w:footnoteRef/>
      </w:r>
      <w:r w:rsidRPr="00C82375">
        <w:rPr>
          <w:rFonts w:ascii="Arial Narrow" w:hAnsi="Arial Narrow" w:cs="Arial"/>
        </w:rPr>
        <w:t xml:space="preserve"> The lease with the Port </w:t>
      </w:r>
      <w:r w:rsidR="00FC1922">
        <w:rPr>
          <w:rFonts w:ascii="Arial Narrow" w:hAnsi="Arial Narrow" w:cs="Arial"/>
        </w:rPr>
        <w:t xml:space="preserve">of San Francisco </w:t>
      </w:r>
      <w:r w:rsidRPr="00C82375">
        <w:rPr>
          <w:rFonts w:ascii="Arial Narrow" w:hAnsi="Arial Narrow" w:cs="Arial"/>
        </w:rPr>
        <w:t xml:space="preserve">will expire in December 2015, thus requiring the Department to locate </w:t>
      </w:r>
      <w:r w:rsidRPr="00C82375">
        <w:rPr>
          <w:rFonts w:ascii="Arial Narrow" w:eastAsiaTheme="minorHAnsi" w:hAnsi="Arial Narrow" w:cs="Arial"/>
          <w:spacing w:val="0"/>
        </w:rPr>
        <w:t xml:space="preserve">a suitable site for its warehouse and election night </w:t>
      </w:r>
      <w:r w:rsidR="00043D52">
        <w:rPr>
          <w:rFonts w:ascii="Arial Narrow" w:eastAsiaTheme="minorHAnsi" w:hAnsi="Arial Narrow" w:cs="Arial"/>
          <w:spacing w:val="0"/>
        </w:rPr>
        <w:t>processing</w:t>
      </w:r>
      <w:r w:rsidR="00043D52" w:rsidRPr="00C82375">
        <w:rPr>
          <w:rFonts w:ascii="Arial Narrow" w:eastAsiaTheme="minorHAnsi" w:hAnsi="Arial Narrow" w:cs="Arial"/>
          <w:spacing w:val="0"/>
        </w:rPr>
        <w:t xml:space="preserve"> </w:t>
      </w:r>
      <w:r w:rsidRPr="00C82375">
        <w:rPr>
          <w:rFonts w:ascii="Arial Narrow" w:eastAsiaTheme="minorHAnsi" w:hAnsi="Arial Narrow" w:cs="Arial"/>
          <w:spacing w:val="0"/>
        </w:rPr>
        <w:t>center.</w:t>
      </w:r>
      <w:r w:rsidRPr="00C82375">
        <w:rPr>
          <w:rFonts w:ascii="Arial Narrow" w:eastAsiaTheme="minorHAnsi" w:hAnsi="Arial Narrow" w:cs="Calibri"/>
          <w:spacing w:val="0"/>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A" w:rsidRDefault="000A7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9A" w:rsidRDefault="000A7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57" w:rsidRDefault="005D2A95">
    <w:pPr>
      <w:pStyle w:val="Header"/>
    </w:pPr>
    <w:r>
      <w:rPr>
        <w:noProof/>
      </w:rPr>
      <mc:AlternateContent>
        <mc:Choice Requires="wps">
          <w:drawing>
            <wp:anchor distT="0" distB="0" distL="114300" distR="114300" simplePos="0" relativeHeight="251665408" behindDoc="0" locked="0" layoutInCell="1" allowOverlap="1" wp14:anchorId="52D09CEE" wp14:editId="2821394B">
              <wp:simplePos x="0" y="0"/>
              <wp:positionH relativeFrom="page">
                <wp:posOffset>1380490</wp:posOffset>
              </wp:positionH>
              <wp:positionV relativeFrom="page">
                <wp:posOffset>328930</wp:posOffset>
              </wp:positionV>
              <wp:extent cx="5943600"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noFill/>
                      </a:ln>
                      <a:effectLst/>
                    </wps:spPr>
                    <wps:txbx>
                      <w:txbxContent>
                        <w:p w:rsidR="003C3457" w:rsidRPr="008100DF" w:rsidRDefault="003C3457" w:rsidP="00E52328">
                          <w:pPr>
                            <w:pBdr>
                              <w:bottom w:val="single" w:sz="8" w:space="1" w:color="auto"/>
                            </w:pBdr>
                            <w:spacing w:line="400" w:lineRule="exact"/>
                            <w:rPr>
                              <w:rFonts w:ascii="Garamond" w:hAnsi="Garamond" w:cs="Arial"/>
                              <w:spacing w:val="10"/>
                              <w:sz w:val="32"/>
                              <w:szCs w:val="32"/>
                              <w14:textOutline w14:w="38100" w14:cap="rnd" w14:cmpd="sng" w14:algn="ctr">
                                <w14:noFill/>
                                <w14:prstDash w14:val="solid"/>
                                <w14:bevel/>
                              </w14:textOutline>
                            </w:rPr>
                          </w:pPr>
                          <w:r w:rsidRPr="008100DF">
                            <w:rPr>
                              <w:rFonts w:ascii="Garamond" w:hAnsi="Garamond" w:cs="Arial"/>
                              <w:spacing w:val="10"/>
                              <w:sz w:val="32"/>
                              <w:szCs w:val="32"/>
                              <w14:textOutline w14:w="38100" w14:cap="rnd" w14:cmpd="sng" w14:algn="ctr">
                                <w14:noFill/>
                                <w14:prstDash w14:val="solid"/>
                                <w14:bevel/>
                              </w14:textOutline>
                            </w:rPr>
                            <w:t>City and County of San Francisco</w:t>
                          </w:r>
                        </w:p>
                        <w:p w:rsidR="003C3457" w:rsidRDefault="003C3457" w:rsidP="00E52328">
                          <w:pPr>
                            <w:pBdr>
                              <w:bottom w:val="single" w:sz="8" w:space="1" w:color="auto"/>
                            </w:pBdr>
                            <w:spacing w:line="400" w:lineRule="exact"/>
                            <w:rPr>
                              <w:rFonts w:ascii="Garamond" w:hAnsi="Garamond" w:cs="Arial"/>
                              <w:b/>
                              <w:spacing w:val="18"/>
                              <w:sz w:val="32"/>
                              <w:szCs w:val="32"/>
                              <w14:textOutline w14:w="38100" w14:cap="rnd" w14:cmpd="sng" w14:algn="ctr">
                                <w14:noFill/>
                                <w14:prstDash w14:val="solid"/>
                                <w14:bevel/>
                              </w14:textOutline>
                            </w:rPr>
                          </w:pPr>
                          <w:r w:rsidRPr="00B71CC0">
                            <w:rPr>
                              <w:rFonts w:ascii="Garamond" w:hAnsi="Garamond" w:cs="Arial"/>
                              <w:b/>
                              <w:spacing w:val="16"/>
                              <w:sz w:val="40"/>
                              <w:szCs w:val="40"/>
                              <w14:textOutline w14:w="38100" w14:cap="rnd" w14:cmpd="sng" w14:algn="ctr">
                                <w14:noFill/>
                                <w14:prstDash w14:val="solid"/>
                                <w14:bevel/>
                              </w14:textOutline>
                            </w:rPr>
                            <w:t>Department of Elections</w:t>
                          </w:r>
                          <w:r>
                            <w:rPr>
                              <w:rFonts w:ascii="Garamond" w:hAnsi="Garamond" w:cs="Arial"/>
                              <w:b/>
                              <w:spacing w:val="20"/>
                              <w:sz w:val="44"/>
                              <w:szCs w:val="44"/>
                              <w14:textOutline w14:w="38100" w14:cap="rnd" w14:cmpd="sng" w14:algn="ctr">
                                <w14:noFill/>
                                <w14:prstDash w14:val="solid"/>
                                <w14:bevel/>
                              </w14:textOutline>
                            </w:rPr>
                            <w:t xml:space="preserve">           </w:t>
                          </w:r>
                          <w:r w:rsidR="002A1B3B">
                            <w:rPr>
                              <w:rFonts w:ascii="Garamond" w:hAnsi="Garamond" w:cs="Arial"/>
                              <w:b/>
                              <w:spacing w:val="20"/>
                              <w:sz w:val="44"/>
                              <w:szCs w:val="44"/>
                              <w14:textOutline w14:w="38100" w14:cap="rnd" w14:cmpd="sng" w14:algn="ctr">
                                <w14:noFill/>
                                <w14:prstDash w14:val="solid"/>
                                <w14:bevel/>
                              </w14:textOutline>
                            </w:rPr>
                            <w:t xml:space="preserve">  </w:t>
                          </w:r>
                          <w:r w:rsidR="002A1B3B" w:rsidRPr="00E52328">
                            <w:rPr>
                              <w:rFonts w:ascii="Garamond" w:hAnsi="Garamond" w:cs="Arial"/>
                              <w:b/>
                              <w:spacing w:val="80"/>
                              <w:sz w:val="44"/>
                              <w:szCs w:val="44"/>
                              <w14:textOutline w14:w="38100" w14:cap="rnd" w14:cmpd="sng" w14:algn="ctr">
                                <w14:noFill/>
                                <w14:prstDash w14:val="solid"/>
                                <w14:bevel/>
                              </w14:textOutline>
                            </w:rPr>
                            <w:t xml:space="preserve"> </w:t>
                          </w:r>
                          <w:r w:rsidRPr="00B71CC0">
                            <w:rPr>
                              <w:rFonts w:ascii="Garamond" w:hAnsi="Garamond" w:cs="Arial"/>
                              <w:spacing w:val="10"/>
                              <w:sz w:val="32"/>
                              <w:szCs w:val="32"/>
                              <w14:textOutline w14:w="38100" w14:cap="rnd" w14:cmpd="sng" w14:algn="ctr">
                                <w14:noFill/>
                                <w14:prstDash w14:val="solid"/>
                                <w14:bevel/>
                              </w14:textOutline>
                            </w:rPr>
                            <w:t>John Arntz, Director</w:t>
                          </w:r>
                        </w:p>
                      </w:txbxContent>
                    </wps:txbx>
                    <wps:bodyPr rot="0" spcFirstLastPara="0" vertOverflow="overflow" horzOverflow="overflow" vert="horz" wrap="square" lIns="0" tIns="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8.7pt;margin-top:25.9pt;width:468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" filled="f" stroked="f" strokeweight=".5pt">
              <v:textbox inset="0,0,0,10.8pt">
                <w:txbxContent>
                  <w:p w:rsidR="003C3457" w:rsidRPr="008100DF" w:rsidRDefault="003C3457" w:rsidP="00E52328">
                    <w:pPr>
                      <w:pBdr>
                        <w:bottom w:val="single" w:sz="8" w:space="1" w:color="auto"/>
                      </w:pBdr>
                      <w:spacing w:line="400" w:lineRule="exact"/>
                      <w:rPr>
                        <w:rFonts w:ascii="Garamond" w:hAnsi="Garamond" w:cs="Arial"/>
                        <w:spacing w:val="10"/>
                        <w:sz w:val="32"/>
                        <w:szCs w:val="32"/>
                        <w14:textOutline w14:w="38100" w14:cap="rnd" w14:cmpd="sng" w14:algn="ctr">
                          <w14:noFill/>
                          <w14:prstDash w14:val="solid"/>
                          <w14:bevel/>
                        </w14:textOutline>
                      </w:rPr>
                    </w:pPr>
                    <w:r w:rsidRPr="008100DF">
                      <w:rPr>
                        <w:rFonts w:ascii="Garamond" w:hAnsi="Garamond" w:cs="Arial"/>
                        <w:spacing w:val="10"/>
                        <w:sz w:val="32"/>
                        <w:szCs w:val="32"/>
                        <w14:textOutline w14:w="38100" w14:cap="rnd" w14:cmpd="sng" w14:algn="ctr">
                          <w14:noFill/>
                          <w14:prstDash w14:val="solid"/>
                          <w14:bevel/>
                        </w14:textOutline>
                      </w:rPr>
                      <w:t>City and County of San Francisco</w:t>
                    </w:r>
                  </w:p>
                  <w:p w:rsidR="003C3457" w:rsidRDefault="003C3457" w:rsidP="00E52328">
                    <w:pPr>
                      <w:pBdr>
                        <w:bottom w:val="single" w:sz="8" w:space="1" w:color="auto"/>
                      </w:pBdr>
                      <w:spacing w:line="400" w:lineRule="exact"/>
                      <w:rPr>
                        <w:rFonts w:ascii="Garamond" w:hAnsi="Garamond" w:cs="Arial"/>
                        <w:b/>
                        <w:spacing w:val="18"/>
                        <w:sz w:val="32"/>
                        <w:szCs w:val="32"/>
                        <w14:textOutline w14:w="38100" w14:cap="rnd" w14:cmpd="sng" w14:algn="ctr">
                          <w14:noFill/>
                          <w14:prstDash w14:val="solid"/>
                          <w14:bevel/>
                        </w14:textOutline>
                      </w:rPr>
                    </w:pPr>
                    <w:r w:rsidRPr="00B71CC0">
                      <w:rPr>
                        <w:rFonts w:ascii="Garamond" w:hAnsi="Garamond" w:cs="Arial"/>
                        <w:b/>
                        <w:spacing w:val="16"/>
                        <w:sz w:val="40"/>
                        <w:szCs w:val="40"/>
                        <w14:textOutline w14:w="38100" w14:cap="rnd" w14:cmpd="sng" w14:algn="ctr">
                          <w14:noFill/>
                          <w14:prstDash w14:val="solid"/>
                          <w14:bevel/>
                        </w14:textOutline>
                      </w:rPr>
                      <w:t>Department of Elections</w:t>
                    </w:r>
                    <w:r>
                      <w:rPr>
                        <w:rFonts w:ascii="Garamond" w:hAnsi="Garamond" w:cs="Arial"/>
                        <w:b/>
                        <w:spacing w:val="20"/>
                        <w:sz w:val="44"/>
                        <w:szCs w:val="44"/>
                        <w14:textOutline w14:w="38100" w14:cap="rnd" w14:cmpd="sng" w14:algn="ctr">
                          <w14:noFill/>
                          <w14:prstDash w14:val="solid"/>
                          <w14:bevel/>
                        </w14:textOutline>
                      </w:rPr>
                      <w:t xml:space="preserve">           </w:t>
                    </w:r>
                    <w:r w:rsidR="002A1B3B">
                      <w:rPr>
                        <w:rFonts w:ascii="Garamond" w:hAnsi="Garamond" w:cs="Arial"/>
                        <w:b/>
                        <w:spacing w:val="20"/>
                        <w:sz w:val="44"/>
                        <w:szCs w:val="44"/>
                        <w14:textOutline w14:w="38100" w14:cap="rnd" w14:cmpd="sng" w14:algn="ctr">
                          <w14:noFill/>
                          <w14:prstDash w14:val="solid"/>
                          <w14:bevel/>
                        </w14:textOutline>
                      </w:rPr>
                      <w:t xml:space="preserve">  </w:t>
                    </w:r>
                    <w:r w:rsidR="002A1B3B" w:rsidRPr="00E52328">
                      <w:rPr>
                        <w:rFonts w:ascii="Garamond" w:hAnsi="Garamond" w:cs="Arial"/>
                        <w:b/>
                        <w:spacing w:val="80"/>
                        <w:sz w:val="44"/>
                        <w:szCs w:val="44"/>
                        <w14:textOutline w14:w="38100" w14:cap="rnd" w14:cmpd="sng" w14:algn="ctr">
                          <w14:noFill/>
                          <w14:prstDash w14:val="solid"/>
                          <w14:bevel/>
                        </w14:textOutline>
                      </w:rPr>
                      <w:t xml:space="preserve"> </w:t>
                    </w:r>
                    <w:r w:rsidRPr="00B71CC0">
                      <w:rPr>
                        <w:rFonts w:ascii="Garamond" w:hAnsi="Garamond" w:cs="Arial"/>
                        <w:spacing w:val="10"/>
                        <w:sz w:val="32"/>
                        <w:szCs w:val="32"/>
                        <w14:textOutline w14:w="38100" w14:cap="rnd" w14:cmpd="sng" w14:algn="ctr">
                          <w14:noFill/>
                          <w14:prstDash w14:val="solid"/>
                          <w14:bevel/>
                        </w14:textOutline>
                      </w:rPr>
                      <w:t>John Arntz, Director</w:t>
                    </w:r>
                  </w:p>
                </w:txbxContent>
              </v:textbox>
              <w10:wrap anchorx="page" anchory="page"/>
            </v:shape>
          </w:pict>
        </mc:Fallback>
      </mc:AlternateContent>
    </w:r>
    <w:r w:rsidR="002A1B3B">
      <w:rPr>
        <w:noProof/>
      </w:rPr>
      <w:drawing>
        <wp:anchor distT="0" distB="0" distL="114300" distR="114300" simplePos="0" relativeHeight="251666432" behindDoc="0" locked="0" layoutInCell="1" allowOverlap="1" wp14:anchorId="1D9FBC21" wp14:editId="1400F537">
          <wp:simplePos x="0" y="0"/>
          <wp:positionH relativeFrom="page">
            <wp:posOffset>457200</wp:posOffset>
          </wp:positionH>
          <wp:positionV relativeFrom="page">
            <wp:posOffset>279400</wp:posOffset>
          </wp:positionV>
          <wp:extent cx="868680" cy="850392"/>
          <wp:effectExtent l="0" t="0" r="762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 withou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850392"/>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C0" w:rsidRDefault="00127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B49"/>
    <w:multiLevelType w:val="multilevel"/>
    <w:tmpl w:val="BFBAE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0BFC0757"/>
    <w:multiLevelType w:val="hybridMultilevel"/>
    <w:tmpl w:val="6458FE3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nsid w:val="0C2E6BDF"/>
    <w:multiLevelType w:val="hybridMultilevel"/>
    <w:tmpl w:val="315AA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A5B83"/>
    <w:multiLevelType w:val="hybridMultilevel"/>
    <w:tmpl w:val="9CA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60A98"/>
    <w:multiLevelType w:val="hybridMultilevel"/>
    <w:tmpl w:val="2258D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797364"/>
    <w:multiLevelType w:val="hybridMultilevel"/>
    <w:tmpl w:val="734802E0"/>
    <w:lvl w:ilvl="0" w:tplc="862231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5F70214"/>
    <w:multiLevelType w:val="hybridMultilevel"/>
    <w:tmpl w:val="E26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64199"/>
    <w:multiLevelType w:val="hybridMultilevel"/>
    <w:tmpl w:val="83028C68"/>
    <w:lvl w:ilvl="0" w:tplc="79D41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C6925"/>
    <w:multiLevelType w:val="hybridMultilevel"/>
    <w:tmpl w:val="8B9ED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A45C85"/>
    <w:multiLevelType w:val="multilevel"/>
    <w:tmpl w:val="C39EF69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48D53E9"/>
    <w:multiLevelType w:val="hybridMultilevel"/>
    <w:tmpl w:val="050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12815"/>
    <w:multiLevelType w:val="hybridMultilevel"/>
    <w:tmpl w:val="EE2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10CF2"/>
    <w:multiLevelType w:val="multilevel"/>
    <w:tmpl w:val="C39EF69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F1F209D"/>
    <w:multiLevelType w:val="hybridMultilevel"/>
    <w:tmpl w:val="9E5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2"/>
  </w:num>
  <w:num w:numId="6">
    <w:abstractNumId w:val="4"/>
  </w:num>
  <w:num w:numId="7">
    <w:abstractNumId w:val="1"/>
  </w:num>
  <w:num w:numId="8">
    <w:abstractNumId w:val="6"/>
  </w:num>
  <w:num w:numId="9">
    <w:abstractNumId w:val="9"/>
  </w:num>
  <w:num w:numId="10">
    <w:abstractNumId w:val="7"/>
  </w:num>
  <w:num w:numId="11">
    <w:abstractNumId w:val="0"/>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7"/>
    <w:rsid w:val="00002D9D"/>
    <w:rsid w:val="000168B5"/>
    <w:rsid w:val="00020828"/>
    <w:rsid w:val="000237E7"/>
    <w:rsid w:val="00036520"/>
    <w:rsid w:val="00041319"/>
    <w:rsid w:val="00043D52"/>
    <w:rsid w:val="000538F4"/>
    <w:rsid w:val="00056FBB"/>
    <w:rsid w:val="00071D5C"/>
    <w:rsid w:val="00091B15"/>
    <w:rsid w:val="000962BF"/>
    <w:rsid w:val="000A05DB"/>
    <w:rsid w:val="000A789A"/>
    <w:rsid w:val="000B012D"/>
    <w:rsid w:val="000B66CA"/>
    <w:rsid w:val="000C0DAA"/>
    <w:rsid w:val="000C434C"/>
    <w:rsid w:val="000C4C44"/>
    <w:rsid w:val="000D2631"/>
    <w:rsid w:val="000E5B55"/>
    <w:rsid w:val="000F1090"/>
    <w:rsid w:val="0011091B"/>
    <w:rsid w:val="00121295"/>
    <w:rsid w:val="00127FC0"/>
    <w:rsid w:val="00132842"/>
    <w:rsid w:val="00140E31"/>
    <w:rsid w:val="00151EF0"/>
    <w:rsid w:val="00164772"/>
    <w:rsid w:val="0017112A"/>
    <w:rsid w:val="00176B23"/>
    <w:rsid w:val="00194D88"/>
    <w:rsid w:val="00197901"/>
    <w:rsid w:val="001A02E3"/>
    <w:rsid w:val="001B553B"/>
    <w:rsid w:val="001C26CC"/>
    <w:rsid w:val="001D0631"/>
    <w:rsid w:val="001D0B8A"/>
    <w:rsid w:val="001E69C2"/>
    <w:rsid w:val="001F3439"/>
    <w:rsid w:val="00204941"/>
    <w:rsid w:val="00213717"/>
    <w:rsid w:val="00223CD8"/>
    <w:rsid w:val="00225EA1"/>
    <w:rsid w:val="00226F10"/>
    <w:rsid w:val="00236312"/>
    <w:rsid w:val="002424AD"/>
    <w:rsid w:val="002520E7"/>
    <w:rsid w:val="0025647A"/>
    <w:rsid w:val="00260EAC"/>
    <w:rsid w:val="002707C8"/>
    <w:rsid w:val="00270DA3"/>
    <w:rsid w:val="00274D38"/>
    <w:rsid w:val="00277C40"/>
    <w:rsid w:val="00294782"/>
    <w:rsid w:val="002A1B3B"/>
    <w:rsid w:val="002A6185"/>
    <w:rsid w:val="002B257B"/>
    <w:rsid w:val="002B53B8"/>
    <w:rsid w:val="002C5104"/>
    <w:rsid w:val="002C5D15"/>
    <w:rsid w:val="002C73EA"/>
    <w:rsid w:val="002D0F9E"/>
    <w:rsid w:val="002D1C9B"/>
    <w:rsid w:val="002E2B18"/>
    <w:rsid w:val="002E3831"/>
    <w:rsid w:val="002E4EA4"/>
    <w:rsid w:val="0030217F"/>
    <w:rsid w:val="00311054"/>
    <w:rsid w:val="00314B98"/>
    <w:rsid w:val="00316FA7"/>
    <w:rsid w:val="00320A67"/>
    <w:rsid w:val="00323145"/>
    <w:rsid w:val="00337B08"/>
    <w:rsid w:val="00340BBC"/>
    <w:rsid w:val="003465F3"/>
    <w:rsid w:val="0035088D"/>
    <w:rsid w:val="0035548C"/>
    <w:rsid w:val="00384A30"/>
    <w:rsid w:val="00385384"/>
    <w:rsid w:val="003C1108"/>
    <w:rsid w:val="003C3457"/>
    <w:rsid w:val="003D14E9"/>
    <w:rsid w:val="003D3472"/>
    <w:rsid w:val="003F307C"/>
    <w:rsid w:val="003F6D0C"/>
    <w:rsid w:val="00404AE6"/>
    <w:rsid w:val="004141B6"/>
    <w:rsid w:val="0042105B"/>
    <w:rsid w:val="00421528"/>
    <w:rsid w:val="004232E7"/>
    <w:rsid w:val="0044288E"/>
    <w:rsid w:val="00460B97"/>
    <w:rsid w:val="0046130B"/>
    <w:rsid w:val="00462A65"/>
    <w:rsid w:val="00462C58"/>
    <w:rsid w:val="0046607A"/>
    <w:rsid w:val="00466B48"/>
    <w:rsid w:val="0047098B"/>
    <w:rsid w:val="004712D6"/>
    <w:rsid w:val="004743CE"/>
    <w:rsid w:val="00494AAA"/>
    <w:rsid w:val="00495C4C"/>
    <w:rsid w:val="004962FE"/>
    <w:rsid w:val="004A462E"/>
    <w:rsid w:val="004B3691"/>
    <w:rsid w:val="004C3B0B"/>
    <w:rsid w:val="004D0C56"/>
    <w:rsid w:val="004D5937"/>
    <w:rsid w:val="004E01CE"/>
    <w:rsid w:val="004F5BDC"/>
    <w:rsid w:val="005027F7"/>
    <w:rsid w:val="00510D33"/>
    <w:rsid w:val="00513F8D"/>
    <w:rsid w:val="00521797"/>
    <w:rsid w:val="00522A8A"/>
    <w:rsid w:val="00522F6E"/>
    <w:rsid w:val="00536DB3"/>
    <w:rsid w:val="0054451B"/>
    <w:rsid w:val="00544EE4"/>
    <w:rsid w:val="0057234F"/>
    <w:rsid w:val="00591596"/>
    <w:rsid w:val="00595937"/>
    <w:rsid w:val="005A2B00"/>
    <w:rsid w:val="005B10E5"/>
    <w:rsid w:val="005B7374"/>
    <w:rsid w:val="005C1921"/>
    <w:rsid w:val="005C34F4"/>
    <w:rsid w:val="005C71FE"/>
    <w:rsid w:val="005D2A95"/>
    <w:rsid w:val="005F791A"/>
    <w:rsid w:val="00636B55"/>
    <w:rsid w:val="00643503"/>
    <w:rsid w:val="0065311D"/>
    <w:rsid w:val="00656446"/>
    <w:rsid w:val="0065740B"/>
    <w:rsid w:val="006658A7"/>
    <w:rsid w:val="006822C2"/>
    <w:rsid w:val="00686B2E"/>
    <w:rsid w:val="00687456"/>
    <w:rsid w:val="0069004C"/>
    <w:rsid w:val="00691262"/>
    <w:rsid w:val="00696B86"/>
    <w:rsid w:val="006975E3"/>
    <w:rsid w:val="006A1DE0"/>
    <w:rsid w:val="006A3B4E"/>
    <w:rsid w:val="006A7540"/>
    <w:rsid w:val="006B400E"/>
    <w:rsid w:val="006D6D0F"/>
    <w:rsid w:val="006E5C4D"/>
    <w:rsid w:val="006F776D"/>
    <w:rsid w:val="0070466D"/>
    <w:rsid w:val="00712FA6"/>
    <w:rsid w:val="00715BCD"/>
    <w:rsid w:val="00723215"/>
    <w:rsid w:val="00737F4F"/>
    <w:rsid w:val="0074116C"/>
    <w:rsid w:val="00742125"/>
    <w:rsid w:val="00744C2C"/>
    <w:rsid w:val="007452C8"/>
    <w:rsid w:val="00747FBA"/>
    <w:rsid w:val="007604C8"/>
    <w:rsid w:val="00767BE2"/>
    <w:rsid w:val="00774578"/>
    <w:rsid w:val="00775A5D"/>
    <w:rsid w:val="00781D80"/>
    <w:rsid w:val="00783E91"/>
    <w:rsid w:val="00795B62"/>
    <w:rsid w:val="007B5E15"/>
    <w:rsid w:val="007C09D6"/>
    <w:rsid w:val="007C2AED"/>
    <w:rsid w:val="007C65F0"/>
    <w:rsid w:val="007C7022"/>
    <w:rsid w:val="007C7C72"/>
    <w:rsid w:val="007D1E01"/>
    <w:rsid w:val="007F0305"/>
    <w:rsid w:val="00803332"/>
    <w:rsid w:val="0081081E"/>
    <w:rsid w:val="00817222"/>
    <w:rsid w:val="00822C7B"/>
    <w:rsid w:val="00832D4A"/>
    <w:rsid w:val="00833321"/>
    <w:rsid w:val="00845619"/>
    <w:rsid w:val="0086399B"/>
    <w:rsid w:val="00865645"/>
    <w:rsid w:val="008766FA"/>
    <w:rsid w:val="00887A2A"/>
    <w:rsid w:val="00891659"/>
    <w:rsid w:val="0089537A"/>
    <w:rsid w:val="008C556E"/>
    <w:rsid w:val="008C603A"/>
    <w:rsid w:val="008D24A5"/>
    <w:rsid w:val="008D5E0F"/>
    <w:rsid w:val="008F6D74"/>
    <w:rsid w:val="009150BF"/>
    <w:rsid w:val="0092317A"/>
    <w:rsid w:val="00924ABA"/>
    <w:rsid w:val="00932C55"/>
    <w:rsid w:val="00933605"/>
    <w:rsid w:val="00943C9C"/>
    <w:rsid w:val="009547B0"/>
    <w:rsid w:val="00961159"/>
    <w:rsid w:val="0097329A"/>
    <w:rsid w:val="009805CF"/>
    <w:rsid w:val="009A0E70"/>
    <w:rsid w:val="009A33F1"/>
    <w:rsid w:val="009B4B55"/>
    <w:rsid w:val="009C3CCB"/>
    <w:rsid w:val="009D4E2B"/>
    <w:rsid w:val="009D6EBC"/>
    <w:rsid w:val="009E011F"/>
    <w:rsid w:val="009E45EC"/>
    <w:rsid w:val="009E6218"/>
    <w:rsid w:val="009E7277"/>
    <w:rsid w:val="009F69FD"/>
    <w:rsid w:val="00A067F3"/>
    <w:rsid w:val="00A25771"/>
    <w:rsid w:val="00A27987"/>
    <w:rsid w:val="00A4320F"/>
    <w:rsid w:val="00A47C95"/>
    <w:rsid w:val="00A52ADC"/>
    <w:rsid w:val="00A5677F"/>
    <w:rsid w:val="00A62A69"/>
    <w:rsid w:val="00A62A91"/>
    <w:rsid w:val="00A814E3"/>
    <w:rsid w:val="00A9011F"/>
    <w:rsid w:val="00A90133"/>
    <w:rsid w:val="00A90404"/>
    <w:rsid w:val="00A90912"/>
    <w:rsid w:val="00A92F70"/>
    <w:rsid w:val="00AA44AA"/>
    <w:rsid w:val="00AA6D95"/>
    <w:rsid w:val="00AC712B"/>
    <w:rsid w:val="00AC7D37"/>
    <w:rsid w:val="00AD1A46"/>
    <w:rsid w:val="00AD2F94"/>
    <w:rsid w:val="00AD46E3"/>
    <w:rsid w:val="00AD6CFB"/>
    <w:rsid w:val="00AE3ADF"/>
    <w:rsid w:val="00AF15E6"/>
    <w:rsid w:val="00B22F73"/>
    <w:rsid w:val="00B239F8"/>
    <w:rsid w:val="00B26F53"/>
    <w:rsid w:val="00B3285B"/>
    <w:rsid w:val="00B35E46"/>
    <w:rsid w:val="00B65B18"/>
    <w:rsid w:val="00B802D5"/>
    <w:rsid w:val="00B860D0"/>
    <w:rsid w:val="00B91697"/>
    <w:rsid w:val="00B92096"/>
    <w:rsid w:val="00B969EA"/>
    <w:rsid w:val="00B96B51"/>
    <w:rsid w:val="00B97A57"/>
    <w:rsid w:val="00BA4F2D"/>
    <w:rsid w:val="00BB2C8B"/>
    <w:rsid w:val="00BB39F0"/>
    <w:rsid w:val="00BC13B4"/>
    <w:rsid w:val="00BC1621"/>
    <w:rsid w:val="00BC7C20"/>
    <w:rsid w:val="00BD3278"/>
    <w:rsid w:val="00BD66C5"/>
    <w:rsid w:val="00BE4A29"/>
    <w:rsid w:val="00BF0345"/>
    <w:rsid w:val="00BF18C6"/>
    <w:rsid w:val="00C06ACC"/>
    <w:rsid w:val="00C25319"/>
    <w:rsid w:val="00C31E39"/>
    <w:rsid w:val="00C31F76"/>
    <w:rsid w:val="00C40394"/>
    <w:rsid w:val="00C4156E"/>
    <w:rsid w:val="00C430AE"/>
    <w:rsid w:val="00C46942"/>
    <w:rsid w:val="00C47A00"/>
    <w:rsid w:val="00C67A4F"/>
    <w:rsid w:val="00C7422E"/>
    <w:rsid w:val="00C8027E"/>
    <w:rsid w:val="00C821C4"/>
    <w:rsid w:val="00C82375"/>
    <w:rsid w:val="00C8546C"/>
    <w:rsid w:val="00CA1C85"/>
    <w:rsid w:val="00CA316B"/>
    <w:rsid w:val="00CA594E"/>
    <w:rsid w:val="00CB2796"/>
    <w:rsid w:val="00CB490B"/>
    <w:rsid w:val="00CC445C"/>
    <w:rsid w:val="00CE518F"/>
    <w:rsid w:val="00CF2D9F"/>
    <w:rsid w:val="00CF3B41"/>
    <w:rsid w:val="00CF767A"/>
    <w:rsid w:val="00D21413"/>
    <w:rsid w:val="00D30F88"/>
    <w:rsid w:val="00D54D47"/>
    <w:rsid w:val="00D57553"/>
    <w:rsid w:val="00D751DA"/>
    <w:rsid w:val="00D866E4"/>
    <w:rsid w:val="00DA1DF0"/>
    <w:rsid w:val="00DA4123"/>
    <w:rsid w:val="00DA5295"/>
    <w:rsid w:val="00DB2DBA"/>
    <w:rsid w:val="00DB31D7"/>
    <w:rsid w:val="00DB540F"/>
    <w:rsid w:val="00DC2083"/>
    <w:rsid w:val="00DD4818"/>
    <w:rsid w:val="00DE06AA"/>
    <w:rsid w:val="00DE0FA8"/>
    <w:rsid w:val="00DE61C7"/>
    <w:rsid w:val="00DF6C36"/>
    <w:rsid w:val="00E00477"/>
    <w:rsid w:val="00E2567B"/>
    <w:rsid w:val="00E26980"/>
    <w:rsid w:val="00E35771"/>
    <w:rsid w:val="00E45F20"/>
    <w:rsid w:val="00E46741"/>
    <w:rsid w:val="00E52328"/>
    <w:rsid w:val="00E52A5E"/>
    <w:rsid w:val="00E76A69"/>
    <w:rsid w:val="00E81D30"/>
    <w:rsid w:val="00E93E36"/>
    <w:rsid w:val="00EA5C19"/>
    <w:rsid w:val="00EA6F10"/>
    <w:rsid w:val="00EB296D"/>
    <w:rsid w:val="00EB4CE0"/>
    <w:rsid w:val="00EB7678"/>
    <w:rsid w:val="00EC47EC"/>
    <w:rsid w:val="00ED6D7C"/>
    <w:rsid w:val="00EF25FE"/>
    <w:rsid w:val="00F0416C"/>
    <w:rsid w:val="00F05F28"/>
    <w:rsid w:val="00F14D46"/>
    <w:rsid w:val="00F26125"/>
    <w:rsid w:val="00F34518"/>
    <w:rsid w:val="00F36862"/>
    <w:rsid w:val="00F36B6E"/>
    <w:rsid w:val="00F44D42"/>
    <w:rsid w:val="00F53CFE"/>
    <w:rsid w:val="00F565BE"/>
    <w:rsid w:val="00F62D21"/>
    <w:rsid w:val="00F673BF"/>
    <w:rsid w:val="00F76526"/>
    <w:rsid w:val="00F84202"/>
    <w:rsid w:val="00F94B76"/>
    <w:rsid w:val="00F95371"/>
    <w:rsid w:val="00F975F8"/>
    <w:rsid w:val="00FA748A"/>
    <w:rsid w:val="00FB53FA"/>
    <w:rsid w:val="00FC1922"/>
    <w:rsid w:val="00FC5A7C"/>
    <w:rsid w:val="00FD15EC"/>
    <w:rsid w:val="00FE29B2"/>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20"/>
    <w:pPr>
      <w:spacing w:after="0" w:line="240" w:lineRule="auto"/>
    </w:pPr>
    <w:rPr>
      <w:rFonts w:ascii="Arial" w:eastAsia="Times New Roman" w:hAnsi="Arial" w:cs="Times New Roman"/>
      <w:spacing w:val="-5"/>
      <w:sz w:val="20"/>
      <w:szCs w:val="20"/>
    </w:rPr>
  </w:style>
  <w:style w:type="paragraph" w:styleId="Heading6">
    <w:name w:val="heading 6"/>
    <w:basedOn w:val="Normal"/>
    <w:next w:val="Normal"/>
    <w:link w:val="Heading6Char"/>
    <w:qFormat/>
    <w:rsid w:val="00BC7C20"/>
    <w:pPr>
      <w:keepNext/>
      <w:spacing w:line="192" w:lineRule="auto"/>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45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3C3457"/>
  </w:style>
  <w:style w:type="paragraph" w:styleId="Footer">
    <w:name w:val="footer"/>
    <w:basedOn w:val="Normal"/>
    <w:link w:val="FooterChar"/>
    <w:uiPriority w:val="99"/>
    <w:unhideWhenUsed/>
    <w:rsid w:val="003C345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3C3457"/>
  </w:style>
  <w:style w:type="paragraph" w:styleId="BalloonText">
    <w:name w:val="Balloon Text"/>
    <w:basedOn w:val="Normal"/>
    <w:link w:val="BalloonTextChar"/>
    <w:uiPriority w:val="99"/>
    <w:semiHidden/>
    <w:unhideWhenUsed/>
    <w:rsid w:val="003C3457"/>
    <w:rPr>
      <w:rFonts w:ascii="Tahoma" w:hAnsi="Tahoma" w:cs="Tahoma"/>
      <w:sz w:val="16"/>
      <w:szCs w:val="16"/>
    </w:rPr>
  </w:style>
  <w:style w:type="character" w:customStyle="1" w:styleId="BalloonTextChar">
    <w:name w:val="Balloon Text Char"/>
    <w:basedOn w:val="DefaultParagraphFont"/>
    <w:link w:val="BalloonText"/>
    <w:uiPriority w:val="99"/>
    <w:semiHidden/>
    <w:rsid w:val="003C3457"/>
    <w:rPr>
      <w:rFonts w:ascii="Tahoma" w:hAnsi="Tahoma" w:cs="Tahoma"/>
      <w:sz w:val="16"/>
      <w:szCs w:val="16"/>
    </w:rPr>
  </w:style>
  <w:style w:type="paragraph" w:styleId="ListParagraph">
    <w:name w:val="List Paragraph"/>
    <w:basedOn w:val="Normal"/>
    <w:uiPriority w:val="34"/>
    <w:qFormat/>
    <w:rsid w:val="00F34518"/>
    <w:pPr>
      <w:spacing w:after="200" w:line="276"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semiHidden/>
    <w:unhideWhenUsed/>
    <w:rsid w:val="000538F4"/>
    <w:rPr>
      <w:b/>
      <w:bCs/>
      <w:color w:val="0C3C5D"/>
      <w:u w:val="single"/>
    </w:rPr>
  </w:style>
  <w:style w:type="character" w:customStyle="1" w:styleId="Heading6Char">
    <w:name w:val="Heading 6 Char"/>
    <w:basedOn w:val="DefaultParagraphFont"/>
    <w:link w:val="Heading6"/>
    <w:rsid w:val="00BC7C20"/>
    <w:rPr>
      <w:rFonts w:ascii="Times New Roman" w:eastAsia="Times New Roman" w:hAnsi="Times New Roman" w:cs="Times New Roman"/>
      <w:b/>
      <w:bCs/>
      <w:spacing w:val="-5"/>
      <w:sz w:val="24"/>
      <w:szCs w:val="20"/>
    </w:rPr>
  </w:style>
  <w:style w:type="paragraph" w:styleId="BodyText2">
    <w:name w:val="Body Text 2"/>
    <w:basedOn w:val="Normal"/>
    <w:link w:val="BodyText2Char"/>
    <w:rsid w:val="00BC7C20"/>
    <w:rPr>
      <w:rFonts w:cs="Arial"/>
      <w:b/>
      <w:bCs/>
      <w:sz w:val="24"/>
    </w:rPr>
  </w:style>
  <w:style w:type="character" w:customStyle="1" w:styleId="BodyText2Char">
    <w:name w:val="Body Text 2 Char"/>
    <w:basedOn w:val="DefaultParagraphFont"/>
    <w:link w:val="BodyText2"/>
    <w:rsid w:val="00BC7C20"/>
    <w:rPr>
      <w:rFonts w:ascii="Arial" w:eastAsia="Times New Roman" w:hAnsi="Arial" w:cs="Arial"/>
      <w:b/>
      <w:bCs/>
      <w:spacing w:val="-5"/>
      <w:sz w:val="24"/>
      <w:szCs w:val="20"/>
    </w:rPr>
  </w:style>
  <w:style w:type="paragraph" w:styleId="NoSpacing">
    <w:name w:val="No Spacing"/>
    <w:uiPriority w:val="1"/>
    <w:qFormat/>
    <w:rsid w:val="00924AB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4ABA"/>
  </w:style>
  <w:style w:type="character" w:customStyle="1" w:styleId="FootnoteTextChar">
    <w:name w:val="Footnote Text Char"/>
    <w:basedOn w:val="DefaultParagraphFont"/>
    <w:link w:val="FootnoteText"/>
    <w:uiPriority w:val="99"/>
    <w:semiHidden/>
    <w:rsid w:val="00924ABA"/>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924ABA"/>
    <w:rPr>
      <w:vertAlign w:val="superscript"/>
    </w:rPr>
  </w:style>
  <w:style w:type="paragraph" w:styleId="BodyText3">
    <w:name w:val="Body Text 3"/>
    <w:basedOn w:val="Normal"/>
    <w:link w:val="BodyText3Char"/>
    <w:uiPriority w:val="99"/>
    <w:semiHidden/>
    <w:unhideWhenUsed/>
    <w:rsid w:val="0054451B"/>
    <w:pPr>
      <w:spacing w:after="120"/>
    </w:pPr>
    <w:rPr>
      <w:sz w:val="16"/>
      <w:szCs w:val="16"/>
    </w:rPr>
  </w:style>
  <w:style w:type="character" w:customStyle="1" w:styleId="BodyText3Char">
    <w:name w:val="Body Text 3 Char"/>
    <w:basedOn w:val="DefaultParagraphFont"/>
    <w:link w:val="BodyText3"/>
    <w:uiPriority w:val="99"/>
    <w:semiHidden/>
    <w:rsid w:val="0054451B"/>
    <w:rPr>
      <w:rFonts w:ascii="Arial" w:eastAsia="Times New Roman" w:hAnsi="Arial" w:cs="Times New Roman"/>
      <w:spacing w:val="-5"/>
      <w:sz w:val="16"/>
      <w:szCs w:val="16"/>
    </w:rPr>
  </w:style>
  <w:style w:type="paragraph" w:customStyle="1" w:styleId="BodySingle">
    <w:name w:val="Body Single"/>
    <w:basedOn w:val="Normal"/>
    <w:rsid w:val="0046130B"/>
    <w:rPr>
      <w:rFonts w:ascii="Times New Roman" w:hAnsi="Times New Roman"/>
      <w:snapToGrid w:val="0"/>
      <w:spacing w:val="0"/>
      <w:sz w:val="24"/>
    </w:rPr>
  </w:style>
  <w:style w:type="paragraph" w:styleId="EndnoteText">
    <w:name w:val="endnote text"/>
    <w:basedOn w:val="Normal"/>
    <w:link w:val="EndnoteTextChar"/>
    <w:uiPriority w:val="99"/>
    <w:semiHidden/>
    <w:unhideWhenUsed/>
    <w:rsid w:val="00B35E46"/>
  </w:style>
  <w:style w:type="character" w:customStyle="1" w:styleId="EndnoteTextChar">
    <w:name w:val="Endnote Text Char"/>
    <w:basedOn w:val="DefaultParagraphFont"/>
    <w:link w:val="EndnoteText"/>
    <w:uiPriority w:val="99"/>
    <w:semiHidden/>
    <w:rsid w:val="00B35E46"/>
    <w:rPr>
      <w:rFonts w:ascii="Arial" w:eastAsia="Times New Roman" w:hAnsi="Arial" w:cs="Times New Roman"/>
      <w:spacing w:val="-5"/>
      <w:sz w:val="20"/>
      <w:szCs w:val="20"/>
    </w:rPr>
  </w:style>
  <w:style w:type="character" w:styleId="EndnoteReference">
    <w:name w:val="endnote reference"/>
    <w:basedOn w:val="DefaultParagraphFont"/>
    <w:uiPriority w:val="99"/>
    <w:semiHidden/>
    <w:unhideWhenUsed/>
    <w:rsid w:val="00B35E46"/>
    <w:rPr>
      <w:vertAlign w:val="superscript"/>
    </w:rPr>
  </w:style>
  <w:style w:type="character" w:styleId="CommentReference">
    <w:name w:val="annotation reference"/>
    <w:basedOn w:val="DefaultParagraphFont"/>
    <w:uiPriority w:val="99"/>
    <w:semiHidden/>
    <w:unhideWhenUsed/>
    <w:rsid w:val="00E45F20"/>
    <w:rPr>
      <w:sz w:val="16"/>
      <w:szCs w:val="16"/>
    </w:rPr>
  </w:style>
  <w:style w:type="paragraph" w:styleId="CommentText">
    <w:name w:val="annotation text"/>
    <w:basedOn w:val="Normal"/>
    <w:link w:val="CommentTextChar"/>
    <w:uiPriority w:val="99"/>
    <w:semiHidden/>
    <w:unhideWhenUsed/>
    <w:rsid w:val="00E45F20"/>
  </w:style>
  <w:style w:type="character" w:customStyle="1" w:styleId="CommentTextChar">
    <w:name w:val="Comment Text Char"/>
    <w:basedOn w:val="DefaultParagraphFont"/>
    <w:link w:val="CommentText"/>
    <w:uiPriority w:val="99"/>
    <w:semiHidden/>
    <w:rsid w:val="00E45F20"/>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E45F20"/>
    <w:rPr>
      <w:b/>
      <w:bCs/>
    </w:rPr>
  </w:style>
  <w:style w:type="character" w:customStyle="1" w:styleId="CommentSubjectChar">
    <w:name w:val="Comment Subject Char"/>
    <w:basedOn w:val="CommentTextChar"/>
    <w:link w:val="CommentSubject"/>
    <w:uiPriority w:val="99"/>
    <w:semiHidden/>
    <w:rsid w:val="00E45F20"/>
    <w:rPr>
      <w:rFonts w:ascii="Arial" w:eastAsia="Times New Roman" w:hAnsi="Arial" w:cs="Times New Roman"/>
      <w:b/>
      <w:b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20"/>
    <w:pPr>
      <w:spacing w:after="0" w:line="240" w:lineRule="auto"/>
    </w:pPr>
    <w:rPr>
      <w:rFonts w:ascii="Arial" w:eastAsia="Times New Roman" w:hAnsi="Arial" w:cs="Times New Roman"/>
      <w:spacing w:val="-5"/>
      <w:sz w:val="20"/>
      <w:szCs w:val="20"/>
    </w:rPr>
  </w:style>
  <w:style w:type="paragraph" w:styleId="Heading6">
    <w:name w:val="heading 6"/>
    <w:basedOn w:val="Normal"/>
    <w:next w:val="Normal"/>
    <w:link w:val="Heading6Char"/>
    <w:qFormat/>
    <w:rsid w:val="00BC7C20"/>
    <w:pPr>
      <w:keepNext/>
      <w:spacing w:line="192" w:lineRule="auto"/>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45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3C3457"/>
  </w:style>
  <w:style w:type="paragraph" w:styleId="Footer">
    <w:name w:val="footer"/>
    <w:basedOn w:val="Normal"/>
    <w:link w:val="FooterChar"/>
    <w:uiPriority w:val="99"/>
    <w:unhideWhenUsed/>
    <w:rsid w:val="003C345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3C3457"/>
  </w:style>
  <w:style w:type="paragraph" w:styleId="BalloonText">
    <w:name w:val="Balloon Text"/>
    <w:basedOn w:val="Normal"/>
    <w:link w:val="BalloonTextChar"/>
    <w:uiPriority w:val="99"/>
    <w:semiHidden/>
    <w:unhideWhenUsed/>
    <w:rsid w:val="003C3457"/>
    <w:rPr>
      <w:rFonts w:ascii="Tahoma" w:hAnsi="Tahoma" w:cs="Tahoma"/>
      <w:sz w:val="16"/>
      <w:szCs w:val="16"/>
    </w:rPr>
  </w:style>
  <w:style w:type="character" w:customStyle="1" w:styleId="BalloonTextChar">
    <w:name w:val="Balloon Text Char"/>
    <w:basedOn w:val="DefaultParagraphFont"/>
    <w:link w:val="BalloonText"/>
    <w:uiPriority w:val="99"/>
    <w:semiHidden/>
    <w:rsid w:val="003C3457"/>
    <w:rPr>
      <w:rFonts w:ascii="Tahoma" w:hAnsi="Tahoma" w:cs="Tahoma"/>
      <w:sz w:val="16"/>
      <w:szCs w:val="16"/>
    </w:rPr>
  </w:style>
  <w:style w:type="paragraph" w:styleId="ListParagraph">
    <w:name w:val="List Paragraph"/>
    <w:basedOn w:val="Normal"/>
    <w:uiPriority w:val="34"/>
    <w:qFormat/>
    <w:rsid w:val="00F34518"/>
    <w:pPr>
      <w:spacing w:after="200" w:line="276" w:lineRule="auto"/>
      <w:ind w:left="720"/>
      <w:contextualSpacing/>
    </w:pPr>
    <w:rPr>
      <w:rFonts w:asciiTheme="minorHAnsi" w:eastAsiaTheme="minorHAnsi" w:hAnsiTheme="minorHAnsi" w:cstheme="minorBidi"/>
      <w:spacing w:val="0"/>
      <w:sz w:val="22"/>
      <w:szCs w:val="22"/>
    </w:rPr>
  </w:style>
  <w:style w:type="character" w:styleId="Hyperlink">
    <w:name w:val="Hyperlink"/>
    <w:basedOn w:val="DefaultParagraphFont"/>
    <w:uiPriority w:val="99"/>
    <w:semiHidden/>
    <w:unhideWhenUsed/>
    <w:rsid w:val="000538F4"/>
    <w:rPr>
      <w:b/>
      <w:bCs/>
      <w:color w:val="0C3C5D"/>
      <w:u w:val="single"/>
    </w:rPr>
  </w:style>
  <w:style w:type="character" w:customStyle="1" w:styleId="Heading6Char">
    <w:name w:val="Heading 6 Char"/>
    <w:basedOn w:val="DefaultParagraphFont"/>
    <w:link w:val="Heading6"/>
    <w:rsid w:val="00BC7C20"/>
    <w:rPr>
      <w:rFonts w:ascii="Times New Roman" w:eastAsia="Times New Roman" w:hAnsi="Times New Roman" w:cs="Times New Roman"/>
      <w:b/>
      <w:bCs/>
      <w:spacing w:val="-5"/>
      <w:sz w:val="24"/>
      <w:szCs w:val="20"/>
    </w:rPr>
  </w:style>
  <w:style w:type="paragraph" w:styleId="BodyText2">
    <w:name w:val="Body Text 2"/>
    <w:basedOn w:val="Normal"/>
    <w:link w:val="BodyText2Char"/>
    <w:rsid w:val="00BC7C20"/>
    <w:rPr>
      <w:rFonts w:cs="Arial"/>
      <w:b/>
      <w:bCs/>
      <w:sz w:val="24"/>
    </w:rPr>
  </w:style>
  <w:style w:type="character" w:customStyle="1" w:styleId="BodyText2Char">
    <w:name w:val="Body Text 2 Char"/>
    <w:basedOn w:val="DefaultParagraphFont"/>
    <w:link w:val="BodyText2"/>
    <w:rsid w:val="00BC7C20"/>
    <w:rPr>
      <w:rFonts w:ascii="Arial" w:eastAsia="Times New Roman" w:hAnsi="Arial" w:cs="Arial"/>
      <w:b/>
      <w:bCs/>
      <w:spacing w:val="-5"/>
      <w:sz w:val="24"/>
      <w:szCs w:val="20"/>
    </w:rPr>
  </w:style>
  <w:style w:type="paragraph" w:styleId="NoSpacing">
    <w:name w:val="No Spacing"/>
    <w:uiPriority w:val="1"/>
    <w:qFormat/>
    <w:rsid w:val="00924AB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4ABA"/>
  </w:style>
  <w:style w:type="character" w:customStyle="1" w:styleId="FootnoteTextChar">
    <w:name w:val="Footnote Text Char"/>
    <w:basedOn w:val="DefaultParagraphFont"/>
    <w:link w:val="FootnoteText"/>
    <w:uiPriority w:val="99"/>
    <w:semiHidden/>
    <w:rsid w:val="00924ABA"/>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924ABA"/>
    <w:rPr>
      <w:vertAlign w:val="superscript"/>
    </w:rPr>
  </w:style>
  <w:style w:type="paragraph" w:styleId="BodyText3">
    <w:name w:val="Body Text 3"/>
    <w:basedOn w:val="Normal"/>
    <w:link w:val="BodyText3Char"/>
    <w:uiPriority w:val="99"/>
    <w:semiHidden/>
    <w:unhideWhenUsed/>
    <w:rsid w:val="0054451B"/>
    <w:pPr>
      <w:spacing w:after="120"/>
    </w:pPr>
    <w:rPr>
      <w:sz w:val="16"/>
      <w:szCs w:val="16"/>
    </w:rPr>
  </w:style>
  <w:style w:type="character" w:customStyle="1" w:styleId="BodyText3Char">
    <w:name w:val="Body Text 3 Char"/>
    <w:basedOn w:val="DefaultParagraphFont"/>
    <w:link w:val="BodyText3"/>
    <w:uiPriority w:val="99"/>
    <w:semiHidden/>
    <w:rsid w:val="0054451B"/>
    <w:rPr>
      <w:rFonts w:ascii="Arial" w:eastAsia="Times New Roman" w:hAnsi="Arial" w:cs="Times New Roman"/>
      <w:spacing w:val="-5"/>
      <w:sz w:val="16"/>
      <w:szCs w:val="16"/>
    </w:rPr>
  </w:style>
  <w:style w:type="paragraph" w:customStyle="1" w:styleId="BodySingle">
    <w:name w:val="Body Single"/>
    <w:basedOn w:val="Normal"/>
    <w:rsid w:val="0046130B"/>
    <w:rPr>
      <w:rFonts w:ascii="Times New Roman" w:hAnsi="Times New Roman"/>
      <w:snapToGrid w:val="0"/>
      <w:spacing w:val="0"/>
      <w:sz w:val="24"/>
    </w:rPr>
  </w:style>
  <w:style w:type="paragraph" w:styleId="EndnoteText">
    <w:name w:val="endnote text"/>
    <w:basedOn w:val="Normal"/>
    <w:link w:val="EndnoteTextChar"/>
    <w:uiPriority w:val="99"/>
    <w:semiHidden/>
    <w:unhideWhenUsed/>
    <w:rsid w:val="00B35E46"/>
  </w:style>
  <w:style w:type="character" w:customStyle="1" w:styleId="EndnoteTextChar">
    <w:name w:val="Endnote Text Char"/>
    <w:basedOn w:val="DefaultParagraphFont"/>
    <w:link w:val="EndnoteText"/>
    <w:uiPriority w:val="99"/>
    <w:semiHidden/>
    <w:rsid w:val="00B35E46"/>
    <w:rPr>
      <w:rFonts w:ascii="Arial" w:eastAsia="Times New Roman" w:hAnsi="Arial" w:cs="Times New Roman"/>
      <w:spacing w:val="-5"/>
      <w:sz w:val="20"/>
      <w:szCs w:val="20"/>
    </w:rPr>
  </w:style>
  <w:style w:type="character" w:styleId="EndnoteReference">
    <w:name w:val="endnote reference"/>
    <w:basedOn w:val="DefaultParagraphFont"/>
    <w:uiPriority w:val="99"/>
    <w:semiHidden/>
    <w:unhideWhenUsed/>
    <w:rsid w:val="00B35E46"/>
    <w:rPr>
      <w:vertAlign w:val="superscript"/>
    </w:rPr>
  </w:style>
  <w:style w:type="character" w:styleId="CommentReference">
    <w:name w:val="annotation reference"/>
    <w:basedOn w:val="DefaultParagraphFont"/>
    <w:uiPriority w:val="99"/>
    <w:semiHidden/>
    <w:unhideWhenUsed/>
    <w:rsid w:val="00E45F20"/>
    <w:rPr>
      <w:sz w:val="16"/>
      <w:szCs w:val="16"/>
    </w:rPr>
  </w:style>
  <w:style w:type="paragraph" w:styleId="CommentText">
    <w:name w:val="annotation text"/>
    <w:basedOn w:val="Normal"/>
    <w:link w:val="CommentTextChar"/>
    <w:uiPriority w:val="99"/>
    <w:semiHidden/>
    <w:unhideWhenUsed/>
    <w:rsid w:val="00E45F20"/>
  </w:style>
  <w:style w:type="character" w:customStyle="1" w:styleId="CommentTextChar">
    <w:name w:val="Comment Text Char"/>
    <w:basedOn w:val="DefaultParagraphFont"/>
    <w:link w:val="CommentText"/>
    <w:uiPriority w:val="99"/>
    <w:semiHidden/>
    <w:rsid w:val="00E45F20"/>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E45F20"/>
    <w:rPr>
      <w:b/>
      <w:bCs/>
    </w:rPr>
  </w:style>
  <w:style w:type="character" w:customStyle="1" w:styleId="CommentSubjectChar">
    <w:name w:val="Comment Subject Char"/>
    <w:basedOn w:val="CommentTextChar"/>
    <w:link w:val="CommentSubject"/>
    <w:uiPriority w:val="99"/>
    <w:semiHidden/>
    <w:rsid w:val="00E45F20"/>
    <w:rPr>
      <w:rFonts w:ascii="Arial" w:eastAsia="Times New Roman" w:hAnsi="Arial"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576">
      <w:bodyDiv w:val="1"/>
      <w:marLeft w:val="0"/>
      <w:marRight w:val="0"/>
      <w:marTop w:val="0"/>
      <w:marBottom w:val="0"/>
      <w:divBdr>
        <w:top w:val="none" w:sz="0" w:space="0" w:color="auto"/>
        <w:left w:val="none" w:sz="0" w:space="0" w:color="auto"/>
        <w:bottom w:val="none" w:sz="0" w:space="0" w:color="auto"/>
        <w:right w:val="none" w:sz="0" w:space="0" w:color="auto"/>
      </w:divBdr>
    </w:div>
    <w:div w:id="1740204932">
      <w:bodyDiv w:val="1"/>
      <w:marLeft w:val="0"/>
      <w:marRight w:val="0"/>
      <w:marTop w:val="0"/>
      <w:marBottom w:val="0"/>
      <w:divBdr>
        <w:top w:val="none" w:sz="0" w:space="0" w:color="auto"/>
        <w:left w:val="none" w:sz="0" w:space="0" w:color="auto"/>
        <w:bottom w:val="none" w:sz="0" w:space="0" w:color="auto"/>
        <w:right w:val="none" w:sz="0" w:space="0" w:color="auto"/>
      </w:divBdr>
    </w:div>
    <w:div w:id="20721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registertovote.ca.gov/zh/" TargetMode="External"/><Relationship Id="rId1" Type="http://schemas.openxmlformats.org/officeDocument/2006/relationships/hyperlink" Target="http://registertovote.ca.gov/z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oe-ntsvr02\office\Administrative%20Services\(8)%20Budget\15-16%20&amp;%2016-17\FY15-16%20and%20FY16-17_Object%20Totals%20Graphs%20for%20Mem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e-ntsvr02\office\Administrative%20Services\(8)%20Budget\15-16%20&amp;%2016-17\FY15-16%20and%20FY16-17_Object%20Totals%20Graphs%20for%20Mem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e-ntsvr02\office\Administrative%20Services\(8)%20Budget\15-16%20&amp;%2016-17\FY15-16%20and%20FY16-17_Object%20Totals%20Graphs%20for%20Mem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e-ntsvr02\office\Administrative%20Services\(8)%20Budget\15-16%20&amp;%2016-17\FY15-16%20and%20FY16-17_Object%20Totals%20Graphs%20for%20Me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FY 2015-16</a:t>
            </a:r>
          </a:p>
          <a:p>
            <a:pPr>
              <a:defRPr sz="1400"/>
            </a:pPr>
            <a:r>
              <a:rPr lang="en-US" sz="1400"/>
              <a:t>2 Elections</a:t>
            </a:r>
          </a:p>
        </c:rich>
      </c:tx>
      <c:layout>
        <c:manualLayout>
          <c:xMode val="edge"/>
          <c:yMode val="edge"/>
          <c:x val="0.6373813671521148"/>
          <c:y val="3.6458492688413946E-2"/>
        </c:manualLayout>
      </c:layout>
      <c:overlay val="0"/>
    </c:title>
    <c:autoTitleDeleted val="0"/>
    <c:plotArea>
      <c:layout>
        <c:manualLayout>
          <c:layoutTarget val="inner"/>
          <c:xMode val="edge"/>
          <c:yMode val="edge"/>
          <c:x val="5.3997375328083991E-2"/>
          <c:y val="6.601430869528406E-2"/>
          <c:w val="0.46829396325459316"/>
          <c:h val="0.90637541275082545"/>
        </c:manualLayout>
      </c:layout>
      <c:pieChart>
        <c:varyColors val="1"/>
        <c:ser>
          <c:idx val="0"/>
          <c:order val="0"/>
          <c:dPt>
            <c:idx val="3"/>
            <c:bubble3D val="0"/>
            <c:explosion val="8"/>
            <c:spPr>
              <a:solidFill>
                <a:schemeClr val="accent3">
                  <a:lumMod val="60000"/>
                  <a:lumOff val="40000"/>
                </a:schemeClr>
              </a:solidFill>
            </c:spPr>
          </c:dPt>
          <c:dPt>
            <c:idx val="4"/>
            <c:bubble3D val="0"/>
            <c:spPr>
              <a:solidFill>
                <a:srgbClr val="00B0F0"/>
              </a:solidFill>
            </c:spPr>
          </c:dPt>
          <c:dPt>
            <c:idx val="6"/>
            <c:bubble3D val="0"/>
            <c:explosion val="5"/>
            <c:spPr>
              <a:solidFill>
                <a:srgbClr val="FFC000"/>
              </a:solidFill>
            </c:spPr>
          </c:dPt>
          <c:dPt>
            <c:idx val="7"/>
            <c:bubble3D val="0"/>
            <c:spPr>
              <a:solidFill>
                <a:schemeClr val="accent2">
                  <a:lumMod val="60000"/>
                  <a:lumOff val="40000"/>
                </a:schemeClr>
              </a:solidFill>
            </c:spPr>
          </c:dPt>
          <c:dLbls>
            <c:dLbl>
              <c:idx val="0"/>
              <c:layout>
                <c:manualLayout>
                  <c:x val="-0.10524857830271216"/>
                  <c:y val="0.18311467227908781"/>
                </c:manualLayout>
              </c:layout>
              <c:showLegendKey val="0"/>
              <c:showVal val="0"/>
              <c:showCatName val="0"/>
              <c:showSerName val="0"/>
              <c:showPercent val="1"/>
              <c:showBubbleSize val="0"/>
            </c:dLbl>
            <c:dLbl>
              <c:idx val="1"/>
              <c:layout>
                <c:manualLayout>
                  <c:x val="-0.10848643919510061"/>
                  <c:y val="-6.3735620187163639E-2"/>
                </c:manualLayout>
              </c:layout>
              <c:showLegendKey val="0"/>
              <c:showVal val="0"/>
              <c:showCatName val="0"/>
              <c:showSerName val="0"/>
              <c:showPercent val="1"/>
              <c:showBubbleSize val="0"/>
            </c:dLbl>
            <c:dLbl>
              <c:idx val="2"/>
              <c:layout>
                <c:manualLayout>
                  <c:x val="4.7646325459317587E-2"/>
                  <c:y val="-0.20434907958125018"/>
                </c:manualLayout>
              </c:layout>
              <c:showLegendKey val="0"/>
              <c:showVal val="0"/>
              <c:showCatName val="0"/>
              <c:showSerName val="0"/>
              <c:showPercent val="1"/>
              <c:showBubbleSize val="0"/>
            </c:dLbl>
            <c:dLbl>
              <c:idx val="3"/>
              <c:layout>
                <c:manualLayout>
                  <c:x val="4.2173665791776026E-2"/>
                  <c:y val="3.5193145015934624E-2"/>
                </c:manualLayout>
              </c:layout>
              <c:showLegendKey val="0"/>
              <c:showVal val="0"/>
              <c:showCatName val="0"/>
              <c:showSerName val="0"/>
              <c:showPercent val="1"/>
              <c:showBubbleSize val="0"/>
            </c:dLbl>
            <c:dLbl>
              <c:idx val="4"/>
              <c:layout>
                <c:manualLayout>
                  <c:x val="4.6631889763779528E-2"/>
                  <c:y val="3.9109235929611248E-2"/>
                </c:manualLayout>
              </c:layout>
              <c:showLegendKey val="0"/>
              <c:showVal val="0"/>
              <c:showCatName val="0"/>
              <c:showSerName val="0"/>
              <c:showPercent val="1"/>
              <c:showBubbleSize val="0"/>
            </c:dLbl>
            <c:dLbl>
              <c:idx val="5"/>
              <c:layout>
                <c:manualLayout>
                  <c:x val="-1.6572615923009622E-2"/>
                  <c:y val="-1.0185363276999969E-2"/>
                </c:manualLayout>
              </c:layout>
              <c:dLblPos val="bestFit"/>
              <c:showLegendKey val="0"/>
              <c:showVal val="0"/>
              <c:showCatName val="0"/>
              <c:showSerName val="0"/>
              <c:showPercent val="1"/>
              <c:showBubbleSize val="0"/>
            </c:dLbl>
            <c:dLbl>
              <c:idx val="6"/>
              <c:layout>
                <c:manualLayout>
                  <c:x val="6.5353455818022752E-2"/>
                  <c:y val="0.16087222733258394"/>
                </c:manualLayout>
              </c:layout>
              <c:showLegendKey val="0"/>
              <c:showVal val="0"/>
              <c:showCatName val="0"/>
              <c:showSerName val="0"/>
              <c:showPercent val="1"/>
              <c:showBubbleSize val="0"/>
            </c:dLbl>
            <c:dLbl>
              <c:idx val="7"/>
              <c:layout>
                <c:manualLayout>
                  <c:x val="2.3116141732283466E-2"/>
                  <c:y val="0.14192702512835256"/>
                </c:manualLayout>
              </c:layout>
              <c:showLegendKey val="0"/>
              <c:showVal val="0"/>
              <c:showCatName val="0"/>
              <c:showSerName val="0"/>
              <c:showPercent val="1"/>
              <c:showBubbleSize val="0"/>
            </c:dLbl>
            <c:txPr>
              <a:bodyPr/>
              <a:lstStyle/>
              <a:p>
                <a:pPr>
                  <a:defRPr sz="800" b="1"/>
                </a:pPr>
                <a:endParaRPr lang="en-US"/>
              </a:p>
            </c:txPr>
            <c:showLegendKey val="0"/>
            <c:showVal val="0"/>
            <c:showCatName val="0"/>
            <c:showSerName val="0"/>
            <c:showPercent val="1"/>
            <c:showBubbleSize val="0"/>
            <c:showLeaderLines val="1"/>
          </c:dLbls>
          <c:cat>
            <c:strRef>
              <c:f>Expen!$F$3:$F$10</c:f>
              <c:strCache>
                <c:ptCount val="8"/>
                <c:pt idx="0">
                  <c:v>Salaries &amp; Wages </c:v>
                </c:pt>
                <c:pt idx="1">
                  <c:v>Fringe Benefits</c:v>
                </c:pt>
                <c:pt idx="2">
                  <c:v>Non Personnel Services</c:v>
                </c:pt>
                <c:pt idx="3">
                  <c:v>Non Personnel/Warehouse*</c:v>
                </c:pt>
                <c:pt idx="4">
                  <c:v>Materials &amp; Supplies </c:v>
                </c:pt>
                <c:pt idx="5">
                  <c:v>Capital Outlay/Equipment</c:v>
                </c:pt>
                <c:pt idx="6">
                  <c:v>Capital Outlay/Warehouse**</c:v>
                </c:pt>
                <c:pt idx="7">
                  <c:v>Services of Other Departments </c:v>
                </c:pt>
              </c:strCache>
            </c:strRef>
          </c:cat>
          <c:val>
            <c:numRef>
              <c:f>Expen!$G$3:$G$10</c:f>
              <c:numCache>
                <c:formatCode>#,##0</c:formatCode>
                <c:ptCount val="8"/>
                <c:pt idx="0">
                  <c:v>5609921.2000000002</c:v>
                </c:pt>
                <c:pt idx="1">
                  <c:v>1542301</c:v>
                </c:pt>
                <c:pt idx="2">
                  <c:v>10119877.960000001</c:v>
                </c:pt>
                <c:pt idx="3">
                  <c:v>500000</c:v>
                </c:pt>
                <c:pt idx="4">
                  <c:v>415629</c:v>
                </c:pt>
                <c:pt idx="5">
                  <c:v>252631</c:v>
                </c:pt>
                <c:pt idx="6">
                  <c:v>2000000</c:v>
                </c:pt>
                <c:pt idx="7">
                  <c:v>1126674</c:v>
                </c:pt>
              </c:numCache>
            </c:numRef>
          </c:val>
        </c:ser>
        <c:ser>
          <c:idx val="1"/>
          <c:order val="1"/>
          <c:dLbls>
            <c:showLegendKey val="0"/>
            <c:showVal val="0"/>
            <c:showCatName val="0"/>
            <c:showSerName val="0"/>
            <c:showPercent val="1"/>
            <c:showBubbleSize val="0"/>
            <c:showLeaderLines val="1"/>
          </c:dLbls>
          <c:cat>
            <c:strRef>
              <c:f>Expen!$F$3:$F$10</c:f>
              <c:strCache>
                <c:ptCount val="8"/>
                <c:pt idx="0">
                  <c:v>Salaries &amp; Wages </c:v>
                </c:pt>
                <c:pt idx="1">
                  <c:v>Fringe Benefits</c:v>
                </c:pt>
                <c:pt idx="2">
                  <c:v>Non Personnel Services</c:v>
                </c:pt>
                <c:pt idx="3">
                  <c:v>Non Personnel/Warehouse*</c:v>
                </c:pt>
                <c:pt idx="4">
                  <c:v>Materials &amp; Supplies </c:v>
                </c:pt>
                <c:pt idx="5">
                  <c:v>Capital Outlay/Equipment</c:v>
                </c:pt>
                <c:pt idx="6">
                  <c:v>Capital Outlay/Warehouse**</c:v>
                </c:pt>
                <c:pt idx="7">
                  <c:v>Services of Other Departments </c:v>
                </c:pt>
              </c:strCache>
            </c:strRef>
          </c:cat>
          <c:val>
            <c:numRef>
              <c:f>Expen!$H$3:$H$10</c:f>
              <c:numCache>
                <c:formatCode>#,##0.0</c:formatCode>
                <c:ptCount val="8"/>
                <c:pt idx="0">
                  <c:v>26.01155614806148</c:v>
                </c:pt>
                <c:pt idx="1">
                  <c:v>7.1511965370763795</c:v>
                </c:pt>
                <c:pt idx="2">
                  <c:v>46.92290040866704</c:v>
                </c:pt>
                <c:pt idx="3">
                  <c:v>2.3183530766939722</c:v>
                </c:pt>
                <c:pt idx="4">
                  <c:v>1.9271495418264779</c:v>
                </c:pt>
                <c:pt idx="5">
                  <c:v>1.1713757122365498</c:v>
                </c:pt>
                <c:pt idx="6">
                  <c:v>9.2734123067758887</c:v>
                </c:pt>
                <c:pt idx="7">
                  <c:v>5.224056268662209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428184271476637"/>
          <c:y val="0.28251931449745249"/>
          <c:w val="0.34476190476190477"/>
          <c:h val="0.58657612468304976"/>
        </c:manualLayout>
      </c:layout>
      <c:overlay val="0"/>
      <c:txPr>
        <a:bodyPr/>
        <a:lstStyle/>
        <a:p>
          <a:pPr>
            <a:defRPr sz="8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FY 2016-17</a:t>
            </a:r>
          </a:p>
          <a:p>
            <a:pPr>
              <a:defRPr sz="1400"/>
            </a:pPr>
            <a:r>
              <a:rPr lang="en-US" sz="1400"/>
              <a:t>1 Election</a:t>
            </a:r>
          </a:p>
        </c:rich>
      </c:tx>
      <c:layout>
        <c:manualLayout>
          <c:xMode val="edge"/>
          <c:yMode val="edge"/>
          <c:x val="0.64714611165177383"/>
          <c:y val="7.4908997031108815E-2"/>
        </c:manualLayout>
      </c:layout>
      <c:overlay val="0"/>
    </c:title>
    <c:autoTitleDeleted val="0"/>
    <c:plotArea>
      <c:layout>
        <c:manualLayout>
          <c:layoutTarget val="inner"/>
          <c:xMode val="edge"/>
          <c:yMode val="edge"/>
          <c:x val="4.6109580052493437E-2"/>
          <c:y val="3.4979824197875542E-2"/>
          <c:w val="0.46877559055118112"/>
          <c:h val="0.93495408641786815"/>
        </c:manualLayout>
      </c:layout>
      <c:pieChart>
        <c:varyColors val="1"/>
        <c:ser>
          <c:idx val="0"/>
          <c:order val="0"/>
          <c:dPt>
            <c:idx val="3"/>
            <c:bubble3D val="0"/>
            <c:spPr>
              <a:solidFill>
                <a:srgbClr val="00B0F0"/>
              </a:solidFill>
            </c:spPr>
          </c:dPt>
          <c:dPt>
            <c:idx val="5"/>
            <c:bubble3D val="0"/>
            <c:spPr>
              <a:solidFill>
                <a:schemeClr val="accent2">
                  <a:lumMod val="60000"/>
                  <a:lumOff val="40000"/>
                </a:schemeClr>
              </a:solidFill>
            </c:spPr>
          </c:dPt>
          <c:dLbls>
            <c:dLbl>
              <c:idx val="0"/>
              <c:layout>
                <c:manualLayout>
                  <c:x val="-0.11818613298337707"/>
                  <c:y val="0.14057674873435128"/>
                </c:manualLayout>
              </c:layout>
              <c:showLegendKey val="0"/>
              <c:showVal val="0"/>
              <c:showCatName val="0"/>
              <c:showSerName val="0"/>
              <c:showPercent val="1"/>
              <c:showBubbleSize val="0"/>
            </c:dLbl>
            <c:dLbl>
              <c:idx val="1"/>
              <c:layout>
                <c:manualLayout>
                  <c:x val="-8.1661745406824152E-2"/>
                  <c:y val="-0.13461083211946501"/>
                </c:manualLayout>
              </c:layout>
              <c:showLegendKey val="0"/>
              <c:showVal val="0"/>
              <c:showCatName val="0"/>
              <c:showSerName val="0"/>
              <c:showPercent val="1"/>
              <c:showBubbleSize val="0"/>
            </c:dLbl>
            <c:dLbl>
              <c:idx val="2"/>
              <c:layout>
                <c:manualLayout>
                  <c:x val="0.13237499999999999"/>
                  <c:y val="-7.6093268424434493E-2"/>
                </c:manualLayout>
              </c:layout>
              <c:showLegendKey val="0"/>
              <c:showVal val="0"/>
              <c:showCatName val="0"/>
              <c:showSerName val="0"/>
              <c:showPercent val="1"/>
              <c:showBubbleSize val="0"/>
            </c:dLbl>
            <c:dLbl>
              <c:idx val="3"/>
              <c:layout>
                <c:manualLayout>
                  <c:x val="-1.5971347331583553E-2"/>
                  <c:y val="1.467113506025201E-2"/>
                </c:manualLayout>
              </c:layout>
              <c:showLegendKey val="0"/>
              <c:showVal val="0"/>
              <c:showCatName val="0"/>
              <c:showSerName val="0"/>
              <c:showPercent val="1"/>
              <c:showBubbleSize val="0"/>
            </c:dLbl>
            <c:dLbl>
              <c:idx val="4"/>
              <c:delete val="1"/>
            </c:dLbl>
            <c:dLbl>
              <c:idx val="5"/>
              <c:layout>
                <c:manualLayout>
                  <c:x val="3.7556211723534558E-2"/>
                  <c:y val="0.15782664941785252"/>
                </c:manualLayout>
              </c:layout>
              <c:showLegendKey val="0"/>
              <c:showVal val="0"/>
              <c:showCatName val="0"/>
              <c:showSerName val="0"/>
              <c:showPercent val="1"/>
              <c:showBubbleSize val="0"/>
            </c:dLbl>
            <c:txPr>
              <a:bodyPr/>
              <a:lstStyle/>
              <a:p>
                <a:pPr>
                  <a:defRPr sz="800" b="1"/>
                </a:pPr>
                <a:endParaRPr lang="en-US"/>
              </a:p>
            </c:txPr>
            <c:showLegendKey val="0"/>
            <c:showVal val="0"/>
            <c:showCatName val="0"/>
            <c:showSerName val="0"/>
            <c:showPercent val="1"/>
            <c:showBubbleSize val="0"/>
            <c:showLeaderLines val="1"/>
          </c:dLbls>
          <c:cat>
            <c:strRef>
              <c:f>Expen!$J$3:$J$8</c:f>
              <c:strCache>
                <c:ptCount val="6"/>
                <c:pt idx="0">
                  <c:v>Salaries &amp; Wages </c:v>
                </c:pt>
                <c:pt idx="1">
                  <c:v>Fringe Benefits</c:v>
                </c:pt>
                <c:pt idx="2">
                  <c:v>Non Personnel Services</c:v>
                </c:pt>
                <c:pt idx="3">
                  <c:v>Materials &amp; Supplies </c:v>
                </c:pt>
                <c:pt idx="4">
                  <c:v>Capital Outlay/Equipment</c:v>
                </c:pt>
                <c:pt idx="5">
                  <c:v>Services of Other Departments </c:v>
                </c:pt>
              </c:strCache>
            </c:strRef>
          </c:cat>
          <c:val>
            <c:numRef>
              <c:f>Expen!$K$3:$K$8</c:f>
              <c:numCache>
                <c:formatCode>#,##0</c:formatCode>
                <c:ptCount val="6"/>
                <c:pt idx="0">
                  <c:v>4768075.2</c:v>
                </c:pt>
                <c:pt idx="1">
                  <c:v>1567021</c:v>
                </c:pt>
                <c:pt idx="2">
                  <c:v>6645034</c:v>
                </c:pt>
                <c:pt idx="3">
                  <c:v>221912</c:v>
                </c:pt>
                <c:pt idx="4">
                  <c:v>0</c:v>
                </c:pt>
                <c:pt idx="5">
                  <c:v>941657</c:v>
                </c:pt>
              </c:numCache>
            </c:numRef>
          </c:val>
        </c:ser>
        <c:ser>
          <c:idx val="1"/>
          <c:order val="1"/>
          <c:dLbls>
            <c:showLegendKey val="0"/>
            <c:showVal val="0"/>
            <c:showCatName val="0"/>
            <c:showSerName val="0"/>
            <c:showPercent val="1"/>
            <c:showBubbleSize val="0"/>
            <c:showLeaderLines val="1"/>
          </c:dLbls>
          <c:cat>
            <c:strRef>
              <c:f>Expen!$J$3:$J$8</c:f>
              <c:strCache>
                <c:ptCount val="6"/>
                <c:pt idx="0">
                  <c:v>Salaries &amp; Wages </c:v>
                </c:pt>
                <c:pt idx="1">
                  <c:v>Fringe Benefits</c:v>
                </c:pt>
                <c:pt idx="2">
                  <c:v>Non Personnel Services</c:v>
                </c:pt>
                <c:pt idx="3">
                  <c:v>Materials &amp; Supplies </c:v>
                </c:pt>
                <c:pt idx="4">
                  <c:v>Capital Outlay/Equipment</c:v>
                </c:pt>
                <c:pt idx="5">
                  <c:v>Services of Other Departments </c:v>
                </c:pt>
              </c:strCache>
            </c:strRef>
          </c:cat>
          <c:val>
            <c:numRef>
              <c:f>Expen!$L$3:$L$8</c:f>
              <c:numCache>
                <c:formatCode>#,##0.0</c:formatCode>
                <c:ptCount val="6"/>
                <c:pt idx="0">
                  <c:v>33.711655858744507</c:v>
                </c:pt>
                <c:pt idx="1">
                  <c:v>11.079286810624479</c:v>
                </c:pt>
                <c:pt idx="2">
                  <c:v>46.982291591721633</c:v>
                </c:pt>
                <c:pt idx="3">
                  <c:v>1.568981331277181</c:v>
                </c:pt>
                <c:pt idx="4">
                  <c:v>0</c:v>
                </c:pt>
                <c:pt idx="5">
                  <c:v>6.6577844076321986</c:v>
                </c:pt>
              </c:numCache>
            </c:numRef>
          </c:val>
        </c:ser>
        <c:dLbls>
          <c:showLegendKey val="0"/>
          <c:showVal val="0"/>
          <c:showCatName val="0"/>
          <c:showSerName val="0"/>
          <c:showPercent val="1"/>
          <c:showBubbleSize val="0"/>
          <c:showLeaderLines val="1"/>
        </c:dLbls>
        <c:firstSliceAng val="0"/>
      </c:pieChart>
    </c:plotArea>
    <c:legend>
      <c:legendPos val="r"/>
      <c:legendEntry>
        <c:idx val="4"/>
        <c:delete val="1"/>
      </c:legendEntry>
      <c:layout>
        <c:manualLayout>
          <c:xMode val="edge"/>
          <c:yMode val="edge"/>
          <c:x val="0.62491900050955174"/>
          <c:y val="0.33157461611835332"/>
          <c:w val="0.33028937007874015"/>
          <c:h val="0.43339758878687884"/>
        </c:manualLayout>
      </c:layout>
      <c:overlay val="0"/>
      <c:txPr>
        <a:bodyPr/>
        <a:lstStyle/>
        <a:p>
          <a:pPr>
            <a:defRPr sz="80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FY 2015-16</a:t>
            </a:r>
          </a:p>
          <a:p>
            <a:pPr>
              <a:defRPr sz="1400"/>
            </a:pPr>
            <a:r>
              <a:rPr lang="en-US" sz="1400"/>
              <a:t>2 Elections</a:t>
            </a:r>
          </a:p>
        </c:rich>
      </c:tx>
      <c:layout>
        <c:manualLayout>
          <c:xMode val="edge"/>
          <c:yMode val="edge"/>
          <c:x val="0.65301377952755901"/>
          <c:y val="5.72906778261109E-2"/>
        </c:manualLayout>
      </c:layout>
      <c:overlay val="0"/>
    </c:title>
    <c:autoTitleDeleted val="0"/>
    <c:plotArea>
      <c:layout>
        <c:manualLayout>
          <c:layoutTarget val="inner"/>
          <c:xMode val="edge"/>
          <c:yMode val="edge"/>
          <c:x val="6.6497375328083988E-2"/>
          <c:y val="7.475755740322669E-2"/>
          <c:w val="0.44770319335083114"/>
          <c:h val="0.90166796982545017"/>
        </c:manualLayout>
      </c:layout>
      <c:pieChart>
        <c:varyColors val="1"/>
        <c:ser>
          <c:idx val="0"/>
          <c:order val="0"/>
          <c:dLbls>
            <c:dLbl>
              <c:idx val="0"/>
              <c:layout>
                <c:manualLayout>
                  <c:x val="-7.9261482939632547E-2"/>
                  <c:y val="0.16061242344706911"/>
                </c:manualLayout>
              </c:layout>
              <c:showLegendKey val="0"/>
              <c:showVal val="0"/>
              <c:showCatName val="0"/>
              <c:showSerName val="0"/>
              <c:showPercent val="1"/>
              <c:showBubbleSize val="0"/>
            </c:dLbl>
            <c:dLbl>
              <c:idx val="1"/>
              <c:layout>
                <c:manualLayout>
                  <c:x val="-0.11768186789151357"/>
                  <c:y val="1.3305628463108779E-3"/>
                </c:manualLayout>
              </c:layout>
              <c:showLegendKey val="0"/>
              <c:showVal val="0"/>
              <c:showCatName val="0"/>
              <c:showSerName val="0"/>
              <c:showPercent val="1"/>
              <c:showBubbleSize val="0"/>
            </c:dLbl>
            <c:dLbl>
              <c:idx val="2"/>
              <c:layout>
                <c:manualLayout>
                  <c:x val="6.4440069991251094E-3"/>
                  <c:y val="7.5967118693496649E-2"/>
                </c:manualLayout>
              </c:layout>
              <c:tx>
                <c:rich>
                  <a:bodyPr/>
                  <a:lstStyle/>
                  <a:p>
                    <a:r>
                      <a:rPr lang="en-US"/>
                      <a:t>0.52%</a:t>
                    </a:r>
                  </a:p>
                </c:rich>
              </c:tx>
              <c:showLegendKey val="0"/>
              <c:showVal val="0"/>
              <c:showCatName val="0"/>
              <c:showSerName val="0"/>
              <c:showPercent val="1"/>
              <c:showBubbleSize val="0"/>
            </c:dLbl>
            <c:dLbl>
              <c:idx val="3"/>
              <c:layout>
                <c:manualLayout>
                  <c:x val="0.11493033683289589"/>
                  <c:y val="-0.13864063867016624"/>
                </c:manualLayout>
              </c:layout>
              <c:showLegendKey val="0"/>
              <c:showVal val="0"/>
              <c:showCatName val="0"/>
              <c:showSerName val="0"/>
              <c:showPercent val="1"/>
              <c:showBubbleSize val="0"/>
            </c:dLbl>
            <c:txPr>
              <a:bodyPr/>
              <a:lstStyle/>
              <a:p>
                <a:pPr>
                  <a:defRPr sz="800" b="1"/>
                </a:pPr>
                <a:endParaRPr lang="en-US"/>
              </a:p>
            </c:txPr>
            <c:showLegendKey val="0"/>
            <c:showVal val="0"/>
            <c:showCatName val="0"/>
            <c:showSerName val="0"/>
            <c:showPercent val="1"/>
            <c:showBubbleSize val="0"/>
            <c:showLeaderLines val="1"/>
          </c:dLbls>
          <c:cat>
            <c:strRef>
              <c:f>Revenue!$G$2:$G$5</c:f>
              <c:strCache>
                <c:ptCount val="4"/>
                <c:pt idx="0">
                  <c:v>Candidate Filing and Statement Fees</c:v>
                </c:pt>
                <c:pt idx="1">
                  <c:v>Paid Ballot Arguments Fees</c:v>
                </c:pt>
                <c:pt idx="2">
                  <c:v>General Government Charges</c:v>
                </c:pt>
                <c:pt idx="3">
                  <c:v>Revenues from District Elections</c:v>
                </c:pt>
              </c:strCache>
            </c:strRef>
          </c:cat>
          <c:val>
            <c:numRef>
              <c:f>Revenue!$H$2:$H$5</c:f>
              <c:numCache>
                <c:formatCode>General</c:formatCode>
                <c:ptCount val="4"/>
                <c:pt idx="0">
                  <c:v>72702</c:v>
                </c:pt>
                <c:pt idx="1">
                  <c:v>50000</c:v>
                </c:pt>
                <c:pt idx="2">
                  <c:v>2002</c:v>
                </c:pt>
                <c:pt idx="3">
                  <c:v>262280.15000000002</c:v>
                </c:pt>
              </c:numCache>
            </c:numRef>
          </c:val>
        </c:ser>
        <c:ser>
          <c:idx val="1"/>
          <c:order val="1"/>
          <c:dLbls>
            <c:showLegendKey val="0"/>
            <c:showVal val="0"/>
            <c:showCatName val="0"/>
            <c:showSerName val="0"/>
            <c:showPercent val="1"/>
            <c:showBubbleSize val="0"/>
            <c:showLeaderLines val="1"/>
          </c:dLbls>
          <c:cat>
            <c:strRef>
              <c:f>Revenue!$G$2:$G$5</c:f>
              <c:strCache>
                <c:ptCount val="4"/>
                <c:pt idx="0">
                  <c:v>Candidate Filing and Statement Fees</c:v>
                </c:pt>
                <c:pt idx="1">
                  <c:v>Paid Ballot Arguments Fees</c:v>
                </c:pt>
                <c:pt idx="2">
                  <c:v>General Government Charges</c:v>
                </c:pt>
                <c:pt idx="3">
                  <c:v>Revenues from District Elections</c:v>
                </c:pt>
              </c:strCache>
            </c:strRef>
          </c:cat>
          <c:val>
            <c:numRef>
              <c:f>Revenue!$I$2:$I$5</c:f>
              <c:numCache>
                <c:formatCode>0.00%</c:formatCode>
                <c:ptCount val="4"/>
                <c:pt idx="0">
                  <c:v>0.18786815945821037</c:v>
                </c:pt>
                <c:pt idx="1">
                  <c:v>0.12920425810721187</c:v>
                </c:pt>
                <c:pt idx="2">
                  <c:v>5.1733384946127635E-3</c:v>
                </c:pt>
                <c:pt idx="3">
                  <c:v>0.67775424393996497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388888888888893"/>
          <c:y val="0.31233962887506195"/>
          <c:w val="0.31362270341207349"/>
          <c:h val="0.5743736578382248"/>
        </c:manualLayout>
      </c:layout>
      <c:overlay val="0"/>
      <c:txPr>
        <a:bodyPr/>
        <a:lstStyle/>
        <a:p>
          <a:pPr>
            <a:defRPr sz="800"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FY 2016-17</a:t>
            </a:r>
          </a:p>
          <a:p>
            <a:pPr>
              <a:defRPr sz="1400"/>
            </a:pPr>
            <a:r>
              <a:rPr lang="en-US" sz="1400"/>
              <a:t>1 Election</a:t>
            </a:r>
          </a:p>
        </c:rich>
      </c:tx>
      <c:layout>
        <c:manualLayout>
          <c:xMode val="edge"/>
          <c:yMode val="edge"/>
          <c:x val="0.65301377952755901"/>
          <c:y val="9.0694662379365132E-2"/>
        </c:manualLayout>
      </c:layout>
      <c:overlay val="0"/>
    </c:title>
    <c:autoTitleDeleted val="0"/>
    <c:plotArea>
      <c:layout>
        <c:manualLayout>
          <c:layoutTarget val="inner"/>
          <c:xMode val="edge"/>
          <c:yMode val="edge"/>
          <c:x val="6.6127515310586193E-2"/>
          <c:y val="4.880359581314777E-2"/>
          <c:w val="0.45689982502187221"/>
          <c:h val="0.88670548349619727"/>
        </c:manualLayout>
      </c:layout>
      <c:pieChart>
        <c:varyColors val="1"/>
        <c:ser>
          <c:idx val="0"/>
          <c:order val="0"/>
          <c:dLbls>
            <c:dLbl>
              <c:idx val="0"/>
              <c:layout>
                <c:manualLayout>
                  <c:x val="-1.9137139107611549E-2"/>
                  <c:y val="0.1118597907932208"/>
                </c:manualLayout>
              </c:layout>
              <c:showLegendKey val="0"/>
              <c:showVal val="0"/>
              <c:showCatName val="0"/>
              <c:showSerName val="0"/>
              <c:showPercent val="1"/>
              <c:showBubbleSize val="0"/>
            </c:dLbl>
            <c:dLbl>
              <c:idx val="1"/>
              <c:layout>
                <c:manualLayout>
                  <c:x val="-4.626881014873141E-2"/>
                  <c:y val="0.13173753348577646"/>
                </c:manualLayout>
              </c:layout>
              <c:showLegendKey val="0"/>
              <c:showVal val="0"/>
              <c:showCatName val="0"/>
              <c:showSerName val="0"/>
              <c:showPercent val="1"/>
              <c:showBubbleSize val="0"/>
            </c:dLbl>
            <c:dLbl>
              <c:idx val="2"/>
              <c:layout>
                <c:manualLayout>
                  <c:x val="4.7977909011373582E-2"/>
                  <c:y val="1.3694414459997683E-2"/>
                </c:manualLayout>
              </c:layout>
              <c:tx>
                <c:rich>
                  <a:bodyPr/>
                  <a:lstStyle/>
                  <a:p>
                    <a:r>
                      <a:rPr lang="en-US"/>
                      <a:t>0.37%</a:t>
                    </a:r>
                  </a:p>
                </c:rich>
              </c:tx>
              <c:showLegendKey val="0"/>
              <c:showVal val="0"/>
              <c:showCatName val="0"/>
              <c:showSerName val="0"/>
              <c:showPercent val="1"/>
              <c:showBubbleSize val="0"/>
            </c:dLbl>
            <c:dLbl>
              <c:idx val="3"/>
              <c:layout>
                <c:manualLayout>
                  <c:x val="2.5952427821522309E-2"/>
                  <c:y val="-0.26541788933171073"/>
                </c:manualLayout>
              </c:layout>
              <c:showLegendKey val="0"/>
              <c:showVal val="0"/>
              <c:showCatName val="0"/>
              <c:showSerName val="0"/>
              <c:showPercent val="1"/>
              <c:showBubbleSize val="0"/>
            </c:dLbl>
            <c:txPr>
              <a:bodyPr/>
              <a:lstStyle/>
              <a:p>
                <a:pPr>
                  <a:defRPr sz="800" b="1"/>
                </a:pPr>
                <a:endParaRPr lang="en-US"/>
              </a:p>
            </c:txPr>
            <c:showLegendKey val="0"/>
            <c:showVal val="0"/>
            <c:showCatName val="0"/>
            <c:showSerName val="0"/>
            <c:showPercent val="1"/>
            <c:showBubbleSize val="0"/>
            <c:showLeaderLines val="1"/>
          </c:dLbls>
          <c:cat>
            <c:strRef>
              <c:f>Revenue!$L$2:$L$5</c:f>
              <c:strCache>
                <c:ptCount val="4"/>
                <c:pt idx="0">
                  <c:v>Candidate Filing and Statement Fees</c:v>
                </c:pt>
                <c:pt idx="1">
                  <c:v>Paid Ballot Arguments Fees</c:v>
                </c:pt>
                <c:pt idx="2">
                  <c:v>General Government Charges</c:v>
                </c:pt>
                <c:pt idx="3">
                  <c:v>Revenues from District Elections</c:v>
                </c:pt>
              </c:strCache>
            </c:strRef>
          </c:cat>
          <c:val>
            <c:numRef>
              <c:f>Revenue!$M$2:$M$5</c:f>
              <c:numCache>
                <c:formatCode>General</c:formatCode>
                <c:ptCount val="4"/>
                <c:pt idx="0">
                  <c:v>27911</c:v>
                </c:pt>
                <c:pt idx="1">
                  <c:v>25000</c:v>
                </c:pt>
                <c:pt idx="2">
                  <c:v>2146.25</c:v>
                </c:pt>
                <c:pt idx="3">
                  <c:v>525000</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526618547681545"/>
          <c:y val="0.35134410044535069"/>
          <c:w val="0.31362270341207349"/>
          <c:h val="0.46908174184494422"/>
        </c:manualLayout>
      </c:layout>
      <c:overlay val="0"/>
      <c:txPr>
        <a:bodyPr/>
        <a:lstStyle/>
        <a:p>
          <a:pPr>
            <a:defRPr sz="8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A3C0-11DD-43C8-8881-42D8AD0F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Barabara Carr</dc:creator>
  <cp:lastModifiedBy>Nataliya Kuzina</cp:lastModifiedBy>
  <cp:revision>27</cp:revision>
  <cp:lastPrinted>2015-01-30T22:47:00Z</cp:lastPrinted>
  <dcterms:created xsi:type="dcterms:W3CDTF">2015-01-30T16:53:00Z</dcterms:created>
  <dcterms:modified xsi:type="dcterms:W3CDTF">2015-01-30T22:52:00Z</dcterms:modified>
</cp:coreProperties>
</file>