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3710" w14:textId="36BE7014" w:rsidR="00FB56FE" w:rsidRPr="006A2367" w:rsidRDefault="00FB56FE" w:rsidP="00FB56FE">
      <w:pPr>
        <w:pStyle w:val="Header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Guidance on the 13</w:t>
      </w:r>
      <w:r w:rsidRPr="006A2367">
        <w:rPr>
          <w:rFonts w:cstheme="minorHAnsi"/>
          <w:b/>
          <w:color w:val="833C0B" w:themeColor="accent2" w:themeShade="80"/>
          <w:sz w:val="24"/>
          <w:szCs w:val="24"/>
          <w:vertAlign w:val="superscript"/>
        </w:rPr>
        <w:t>th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, 35</w:t>
      </w:r>
      <w:r w:rsidRPr="006A2367">
        <w:rPr>
          <w:rFonts w:cstheme="minorHAnsi"/>
          <w:b/>
          <w:color w:val="833C0B" w:themeColor="accent2" w:themeShade="80"/>
          <w:sz w:val="24"/>
          <w:szCs w:val="24"/>
          <w:vertAlign w:val="superscript"/>
        </w:rPr>
        <w:t>th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and 47</w:t>
      </w:r>
      <w:r w:rsidRPr="006A2367">
        <w:rPr>
          <w:rFonts w:cstheme="minorHAnsi"/>
          <w:b/>
          <w:color w:val="833C0B" w:themeColor="accent2" w:themeShade="80"/>
          <w:sz w:val="24"/>
          <w:szCs w:val="24"/>
          <w:vertAlign w:val="superscript"/>
        </w:rPr>
        <w:t>th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Supplements to the Mayor’s Emergency Declaration</w:t>
      </w:r>
    </w:p>
    <w:p w14:paraId="13DCC1A2" w14:textId="4054E4F7" w:rsidR="00FB56FE" w:rsidRPr="006A2367" w:rsidRDefault="00FB56FE" w:rsidP="00FB56FE">
      <w:pPr>
        <w:pStyle w:val="Header"/>
        <w:spacing w:line="120" w:lineRule="exact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p w14:paraId="13E0C188" w14:textId="77777777" w:rsidR="002B64A9" w:rsidRPr="006A2367" w:rsidRDefault="002B64A9" w:rsidP="00FB56FE">
      <w:pPr>
        <w:pStyle w:val="Header"/>
        <w:spacing w:line="120" w:lineRule="exact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p w14:paraId="0AEABC77" w14:textId="4734FC3D" w:rsidR="009D4F92" w:rsidRPr="006A2367" w:rsidRDefault="00B35132" w:rsidP="002B64A9">
      <w:pPr>
        <w:pStyle w:val="ListParagraph"/>
        <w:numPr>
          <w:ilvl w:val="0"/>
          <w:numId w:val="14"/>
        </w:numPr>
        <w:spacing w:after="0" w:line="240" w:lineRule="auto"/>
        <w:ind w:left="720" w:hanging="274"/>
        <w:rPr>
          <w:rFonts w:cstheme="minorHAnsi"/>
          <w:sz w:val="24"/>
          <w:szCs w:val="24"/>
        </w:rPr>
      </w:pPr>
      <w:hyperlink w:anchor="I" w:history="1">
        <w:r w:rsidR="009D4F92" w:rsidRPr="006A2367">
          <w:rPr>
            <w:rStyle w:val="Hyperlink"/>
            <w:rFonts w:cstheme="minorHAnsi"/>
            <w:sz w:val="24"/>
            <w:szCs w:val="24"/>
          </w:rPr>
          <w:t xml:space="preserve">Extension of </w:t>
        </w:r>
        <w:r w:rsidR="008A61DE" w:rsidRPr="006A2367">
          <w:rPr>
            <w:rStyle w:val="Hyperlink"/>
            <w:rFonts w:cstheme="minorHAnsi"/>
            <w:sz w:val="24"/>
            <w:szCs w:val="24"/>
          </w:rPr>
          <w:t>Non-</w:t>
        </w:r>
        <w:r w:rsidR="009D4F92" w:rsidRPr="006A2367">
          <w:rPr>
            <w:rStyle w:val="Hyperlink"/>
            <w:rFonts w:cstheme="minorHAnsi"/>
            <w:sz w:val="24"/>
            <w:szCs w:val="24"/>
          </w:rPr>
          <w:t>COVID and</w:t>
        </w:r>
        <w:r w:rsidR="008A61DE" w:rsidRPr="006A2367">
          <w:rPr>
            <w:rStyle w:val="Hyperlink"/>
            <w:rFonts w:cstheme="minorHAnsi"/>
            <w:sz w:val="24"/>
            <w:szCs w:val="24"/>
          </w:rPr>
          <w:t xml:space="preserve"> </w:t>
        </w:r>
        <w:r w:rsidR="009D4F92" w:rsidRPr="006A2367">
          <w:rPr>
            <w:rStyle w:val="Hyperlink"/>
            <w:rFonts w:cstheme="minorHAnsi"/>
            <w:sz w:val="24"/>
            <w:szCs w:val="24"/>
          </w:rPr>
          <w:t xml:space="preserve">COVID </w:t>
        </w:r>
        <w:r w:rsidR="00F404B3" w:rsidRPr="006A2367">
          <w:rPr>
            <w:rStyle w:val="Hyperlink"/>
            <w:rFonts w:cstheme="minorHAnsi"/>
            <w:sz w:val="24"/>
            <w:szCs w:val="24"/>
          </w:rPr>
          <w:t>C</w:t>
        </w:r>
        <w:r w:rsidR="009D4F92" w:rsidRPr="006A2367">
          <w:rPr>
            <w:rStyle w:val="Hyperlink"/>
            <w:rFonts w:cstheme="minorHAnsi"/>
            <w:sz w:val="24"/>
            <w:szCs w:val="24"/>
          </w:rPr>
          <w:t xml:space="preserve">ontracts and </w:t>
        </w:r>
        <w:r w:rsidR="00F404B3" w:rsidRPr="006A2367">
          <w:rPr>
            <w:rStyle w:val="Hyperlink"/>
            <w:rFonts w:cstheme="minorHAnsi"/>
            <w:sz w:val="24"/>
            <w:szCs w:val="24"/>
          </w:rPr>
          <w:t>G</w:t>
        </w:r>
        <w:r w:rsidR="009D4F92" w:rsidRPr="006A2367">
          <w:rPr>
            <w:rStyle w:val="Hyperlink"/>
            <w:rFonts w:cstheme="minorHAnsi"/>
            <w:sz w:val="24"/>
            <w:szCs w:val="24"/>
          </w:rPr>
          <w:t xml:space="preserve">rant </w:t>
        </w:r>
        <w:r w:rsidR="00F404B3" w:rsidRPr="006A2367">
          <w:rPr>
            <w:rStyle w:val="Hyperlink"/>
            <w:rFonts w:cstheme="minorHAnsi"/>
            <w:sz w:val="24"/>
            <w:szCs w:val="24"/>
          </w:rPr>
          <w:t>A</w:t>
        </w:r>
        <w:r w:rsidR="009D4F92" w:rsidRPr="006A2367">
          <w:rPr>
            <w:rStyle w:val="Hyperlink"/>
            <w:rFonts w:cstheme="minorHAnsi"/>
            <w:sz w:val="24"/>
            <w:szCs w:val="24"/>
          </w:rPr>
          <w:t>greements</w:t>
        </w:r>
      </w:hyperlink>
    </w:p>
    <w:p w14:paraId="6ACB4B76" w14:textId="27615659" w:rsidR="00D8232B" w:rsidRPr="006A2367" w:rsidRDefault="00B35132" w:rsidP="00FB56FE">
      <w:pPr>
        <w:pStyle w:val="ListParagraph"/>
        <w:numPr>
          <w:ilvl w:val="0"/>
          <w:numId w:val="14"/>
        </w:numPr>
        <w:spacing w:after="0" w:line="240" w:lineRule="auto"/>
        <w:ind w:left="720" w:hanging="274"/>
        <w:rPr>
          <w:rFonts w:cstheme="minorHAnsi"/>
          <w:sz w:val="24"/>
          <w:szCs w:val="24"/>
        </w:rPr>
      </w:pPr>
      <w:hyperlink w:anchor="III" w:history="1">
        <w:r w:rsidR="00D8232B" w:rsidRPr="006A2367">
          <w:rPr>
            <w:rStyle w:val="Hyperlink"/>
            <w:rFonts w:cstheme="minorHAnsi"/>
            <w:sz w:val="24"/>
            <w:szCs w:val="24"/>
          </w:rPr>
          <w:t>Extension of Prequalified Pools</w:t>
        </w:r>
      </w:hyperlink>
      <w:r w:rsidR="00D8232B" w:rsidRPr="006A2367">
        <w:rPr>
          <w:rFonts w:cstheme="minorHAnsi"/>
          <w:sz w:val="24"/>
          <w:szCs w:val="24"/>
        </w:rPr>
        <w:t xml:space="preserve">  </w:t>
      </w:r>
    </w:p>
    <w:p w14:paraId="1D7E0486" w14:textId="6451F46C" w:rsidR="009D4F92" w:rsidRPr="006A2367" w:rsidRDefault="00312996" w:rsidP="00FB56FE">
      <w:pPr>
        <w:pStyle w:val="ListParagraph"/>
        <w:numPr>
          <w:ilvl w:val="0"/>
          <w:numId w:val="14"/>
        </w:numPr>
        <w:spacing w:after="0" w:line="240" w:lineRule="auto"/>
        <w:ind w:left="720" w:hanging="274"/>
        <w:rPr>
          <w:rStyle w:val="Hyperlink"/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fldChar w:fldCharType="begin"/>
      </w:r>
      <w:r w:rsidRPr="006A2367">
        <w:rPr>
          <w:rFonts w:cstheme="minorHAnsi"/>
          <w:sz w:val="24"/>
          <w:szCs w:val="24"/>
        </w:rPr>
        <w:instrText xml:space="preserve"> HYPERLINK  \l "IV" </w:instrText>
      </w:r>
      <w:r w:rsidRPr="006A2367">
        <w:rPr>
          <w:rFonts w:cstheme="minorHAnsi"/>
          <w:sz w:val="24"/>
          <w:szCs w:val="24"/>
        </w:rPr>
        <w:fldChar w:fldCharType="separate"/>
      </w:r>
      <w:r w:rsidR="009D4F92" w:rsidRPr="006A2367">
        <w:rPr>
          <w:rStyle w:val="Hyperlink"/>
          <w:rFonts w:cstheme="minorHAnsi"/>
          <w:sz w:val="24"/>
          <w:szCs w:val="24"/>
        </w:rPr>
        <w:t>Issuing New COVID-Response Contracts and Grants</w:t>
      </w:r>
    </w:p>
    <w:p w14:paraId="2699E1B2" w14:textId="2C8B5006" w:rsidR="009D4F92" w:rsidRPr="006A2367" w:rsidRDefault="00312996" w:rsidP="00FB56FE">
      <w:pPr>
        <w:spacing w:after="0" w:line="240" w:lineRule="auto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fldChar w:fldCharType="end"/>
      </w:r>
      <w:r w:rsidR="00B35132">
        <w:rPr>
          <w:rFonts w:cstheme="minorHAnsi"/>
          <w:sz w:val="24"/>
          <w:szCs w:val="24"/>
        </w:rPr>
        <w:pict w14:anchorId="2DA2CE01">
          <v:rect id="_x0000_i1025" style="width:484.85pt;height:.05pt;flip:y" o:hrpct="962" o:hralign="center" o:hrstd="t" o:hr="t" fillcolor="#a0a0a0" stroked="f"/>
        </w:pict>
      </w:r>
    </w:p>
    <w:p w14:paraId="6DCDF8DC" w14:textId="4A6C0B59" w:rsidR="007468E5" w:rsidRPr="006A2367" w:rsidRDefault="004C7AC6" w:rsidP="00FB56FE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  <w:bookmarkStart w:id="0" w:name="I"/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Extension of </w:t>
      </w:r>
      <w:r w:rsidR="008A61DE" w:rsidRPr="006A2367">
        <w:rPr>
          <w:rFonts w:cstheme="minorHAnsi"/>
          <w:b/>
          <w:color w:val="833C0B" w:themeColor="accent2" w:themeShade="80"/>
          <w:sz w:val="24"/>
          <w:szCs w:val="24"/>
        </w:rPr>
        <w:t>Non-</w:t>
      </w:r>
      <w:r w:rsidR="00176ECE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COVID and 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COVID 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>C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ontracts</w:t>
      </w:r>
      <w:r w:rsidR="00176ECE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and 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>G</w:t>
      </w:r>
      <w:r w:rsidR="00176ECE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rant 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>A</w:t>
      </w:r>
      <w:r w:rsidR="00176ECE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greements </w:t>
      </w:r>
    </w:p>
    <w:p w14:paraId="6A4BBD14" w14:textId="77777777" w:rsidR="007468E5" w:rsidRPr="006A2367" w:rsidRDefault="007468E5" w:rsidP="007468E5">
      <w:pPr>
        <w:pStyle w:val="ListParagraph"/>
        <w:spacing w:before="100" w:beforeAutospacing="1" w:after="100" w:afterAutospacing="1" w:line="120" w:lineRule="exact"/>
        <w:ind w:left="1080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</w:p>
    <w:p w14:paraId="351F16CB" w14:textId="59929753" w:rsidR="009E75AC" w:rsidRPr="006A2367" w:rsidRDefault="009E75AC" w:rsidP="009E75AC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bookmarkStart w:id="1" w:name="II"/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Extension of Agreements that have expired as of February 11, 2022</w:t>
      </w:r>
      <w:bookmarkEnd w:id="1"/>
      <w:r w:rsidRPr="006A2367">
        <w:rPr>
          <w:rFonts w:cstheme="minorHAnsi"/>
          <w:b/>
          <w:sz w:val="24"/>
          <w:szCs w:val="24"/>
        </w:rPr>
        <w:t xml:space="preserve">  </w:t>
      </w:r>
    </w:p>
    <w:p w14:paraId="04BA337B" w14:textId="77777777" w:rsidR="009E75AC" w:rsidRPr="006A2367" w:rsidRDefault="009E75AC" w:rsidP="009E75AC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>As of the 47</w:t>
      </w:r>
      <w:r w:rsidRPr="006A2367">
        <w:rPr>
          <w:rFonts w:cstheme="minorHAnsi"/>
          <w:sz w:val="24"/>
          <w:szCs w:val="24"/>
          <w:vertAlign w:val="superscript"/>
        </w:rPr>
        <w:t>th</w:t>
      </w:r>
      <w:r w:rsidRPr="006A2367">
        <w:rPr>
          <w:rFonts w:cstheme="minorHAnsi"/>
          <w:sz w:val="24"/>
          <w:szCs w:val="24"/>
        </w:rPr>
        <w:t xml:space="preserve"> Supplement, departments lack any authority by which to extend existing COVID and non-COVID contracts and grant agreements that expired before February 11, 2022. For COVID-related contracts only, departments may consider entering into </w:t>
      </w:r>
      <w:r w:rsidRPr="006A2367">
        <w:rPr>
          <w:rFonts w:cstheme="minorHAnsi"/>
          <w:i/>
          <w:sz w:val="24"/>
          <w:szCs w:val="24"/>
        </w:rPr>
        <w:t>new</w:t>
      </w:r>
      <w:r w:rsidRPr="006A2367">
        <w:rPr>
          <w:rFonts w:cstheme="minorHAnsi"/>
          <w:sz w:val="24"/>
          <w:szCs w:val="24"/>
        </w:rPr>
        <w:t xml:space="preserve"> emergency contracts pursuant to one of the options provided in Section III below.</w:t>
      </w:r>
    </w:p>
    <w:p w14:paraId="51293690" w14:textId="77777777" w:rsidR="009E75AC" w:rsidRPr="006A2367" w:rsidRDefault="009E75AC" w:rsidP="009E75AC">
      <w:pPr>
        <w:pStyle w:val="ListParagraph"/>
        <w:spacing w:before="100" w:beforeAutospacing="1" w:after="100" w:afterAutospacing="1" w:line="120" w:lineRule="exact"/>
        <w:ind w:left="1080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</w:p>
    <w:p w14:paraId="65CDCDBD" w14:textId="17E3AB61" w:rsidR="004C7AC6" w:rsidRPr="006A2367" w:rsidRDefault="009E75AC" w:rsidP="007468E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Extension of </w:t>
      </w:r>
      <w:r w:rsidR="007468E5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Agreements </w:t>
      </w:r>
      <w:r w:rsidR="00001CEF" w:rsidRPr="006A2367">
        <w:rPr>
          <w:rFonts w:cstheme="minorHAnsi"/>
          <w:b/>
          <w:color w:val="833C0B" w:themeColor="accent2" w:themeShade="80"/>
          <w:sz w:val="24"/>
          <w:szCs w:val="24"/>
        </w:rPr>
        <w:t>that have n</w:t>
      </w:r>
      <w:r w:rsidR="00176ECE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ot </w:t>
      </w:r>
      <w:r w:rsidR="007468E5" w:rsidRPr="006A2367">
        <w:rPr>
          <w:rFonts w:cstheme="minorHAnsi"/>
          <w:b/>
          <w:color w:val="833C0B" w:themeColor="accent2" w:themeShade="80"/>
          <w:sz w:val="24"/>
          <w:szCs w:val="24"/>
        </w:rPr>
        <w:t>e</w:t>
      </w:r>
      <w:r w:rsidR="00176ECE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xpired </w:t>
      </w:r>
      <w:r w:rsidR="00DE53CD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as of </w:t>
      </w:r>
      <w:r w:rsidR="00176ECE" w:rsidRPr="006A2367">
        <w:rPr>
          <w:rFonts w:cstheme="minorHAnsi"/>
          <w:b/>
          <w:color w:val="833C0B" w:themeColor="accent2" w:themeShade="80"/>
          <w:sz w:val="24"/>
          <w:szCs w:val="24"/>
        </w:rPr>
        <w:t>February 11, 2022</w:t>
      </w:r>
      <w:bookmarkEnd w:id="0"/>
      <w:r w:rsidR="00176ECE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</w:t>
      </w:r>
    </w:p>
    <w:p w14:paraId="489BB1E4" w14:textId="359945A3" w:rsidR="004B2F84" w:rsidRPr="004B2F84" w:rsidRDefault="00CF1BE8" w:rsidP="004B2F84">
      <w:pPr>
        <w:pStyle w:val="ListParagraph"/>
        <w:spacing w:before="100" w:beforeAutospacing="1" w:after="80" w:line="240" w:lineRule="auto"/>
        <w:ind w:left="108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>The</w:t>
      </w:r>
      <w:r w:rsidRPr="006A2367">
        <w:rPr>
          <w:rFonts w:cstheme="minorHAnsi"/>
          <w:b/>
          <w:sz w:val="24"/>
          <w:szCs w:val="24"/>
        </w:rPr>
        <w:t xml:space="preserve"> </w:t>
      </w:r>
      <w:hyperlink r:id="rId8" w:history="1">
        <w:r w:rsidRPr="006A2367">
          <w:rPr>
            <w:rStyle w:val="Hyperlink"/>
            <w:rFonts w:cstheme="minorHAnsi"/>
            <w:sz w:val="24"/>
            <w:szCs w:val="24"/>
          </w:rPr>
          <w:t>47</w:t>
        </w:r>
        <w:r w:rsidRPr="006A2367">
          <w:rPr>
            <w:rStyle w:val="Hyperlink"/>
            <w:rFonts w:cstheme="minorHAnsi"/>
            <w:sz w:val="24"/>
            <w:szCs w:val="24"/>
            <w:vertAlign w:val="superscript"/>
          </w:rPr>
          <w:t>th</w:t>
        </w:r>
        <w:r w:rsidRPr="006A2367">
          <w:rPr>
            <w:rStyle w:val="Hyperlink"/>
            <w:rFonts w:cstheme="minorHAnsi"/>
            <w:sz w:val="24"/>
            <w:szCs w:val="24"/>
          </w:rPr>
          <w:t xml:space="preserve"> Supplement</w:t>
        </w:r>
      </w:hyperlink>
      <w:r w:rsidR="00D8232B" w:rsidRPr="006A2367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DE53CD" w:rsidRPr="006A2367">
        <w:rPr>
          <w:rFonts w:cstheme="minorHAnsi"/>
          <w:sz w:val="24"/>
          <w:szCs w:val="24"/>
        </w:rPr>
        <w:t xml:space="preserve">authorizes </w:t>
      </w:r>
      <w:r w:rsidR="00AF58F4" w:rsidRPr="006A2367">
        <w:rPr>
          <w:rFonts w:cstheme="minorHAnsi"/>
          <w:sz w:val="24"/>
          <w:szCs w:val="24"/>
        </w:rPr>
        <w:t xml:space="preserve">departments to extend through June 30, 2023 any </w:t>
      </w:r>
      <w:r w:rsidR="00FB56FE" w:rsidRPr="006A2367">
        <w:rPr>
          <w:rFonts w:cstheme="minorHAnsi"/>
          <w:sz w:val="24"/>
          <w:szCs w:val="24"/>
        </w:rPr>
        <w:t xml:space="preserve">non-COVID or COVID </w:t>
      </w:r>
      <w:r w:rsidR="00AF58F4" w:rsidRPr="006A2367">
        <w:rPr>
          <w:rFonts w:cstheme="minorHAnsi"/>
          <w:sz w:val="24"/>
          <w:szCs w:val="24"/>
        </w:rPr>
        <w:t>Chapter 21 Commodities and Services Agreement, Chapter 21G Grant Agreement, or Chapter 6 Construction Contract that otherwise lack</w:t>
      </w:r>
      <w:r w:rsidR="00A12371" w:rsidRPr="006A2367">
        <w:rPr>
          <w:rFonts w:cstheme="minorHAnsi"/>
          <w:sz w:val="24"/>
          <w:szCs w:val="24"/>
        </w:rPr>
        <w:t>s</w:t>
      </w:r>
      <w:r w:rsidR="00AF58F4" w:rsidRPr="006A2367">
        <w:rPr>
          <w:rFonts w:cstheme="minorHAnsi"/>
          <w:sz w:val="24"/>
          <w:szCs w:val="24"/>
        </w:rPr>
        <w:t xml:space="preserve"> a valid purchasing authority by which to be further extended</w:t>
      </w:r>
      <w:r w:rsidR="004B2F84">
        <w:rPr>
          <w:rFonts w:cstheme="minorHAnsi"/>
          <w:sz w:val="24"/>
          <w:szCs w:val="24"/>
        </w:rPr>
        <w:t xml:space="preserve">, </w:t>
      </w:r>
      <w:r w:rsidR="004B2F84" w:rsidRPr="004B2F84">
        <w:rPr>
          <w:rFonts w:cstheme="minorHAnsi"/>
          <w:i/>
          <w:sz w:val="24"/>
          <w:szCs w:val="24"/>
        </w:rPr>
        <w:t>so long as t</w:t>
      </w:r>
      <w:r w:rsidR="00AF58F4" w:rsidRPr="004B2F84">
        <w:rPr>
          <w:rFonts w:cstheme="minorHAnsi"/>
          <w:i/>
          <w:sz w:val="24"/>
          <w:szCs w:val="24"/>
        </w:rPr>
        <w:t xml:space="preserve">he contract or grant agreement </w:t>
      </w:r>
      <w:r w:rsidR="004B2F84" w:rsidRPr="004B2F84">
        <w:rPr>
          <w:rFonts w:cstheme="minorHAnsi"/>
          <w:i/>
          <w:sz w:val="24"/>
          <w:szCs w:val="24"/>
        </w:rPr>
        <w:t xml:space="preserve">has </w:t>
      </w:r>
      <w:r w:rsidR="00FB56FE" w:rsidRPr="004B2F84">
        <w:rPr>
          <w:rFonts w:cstheme="minorHAnsi"/>
          <w:i/>
          <w:sz w:val="24"/>
          <w:szCs w:val="24"/>
        </w:rPr>
        <w:t>n</w:t>
      </w:r>
      <w:r w:rsidR="00AF58F4" w:rsidRPr="004B2F84">
        <w:rPr>
          <w:rFonts w:cstheme="minorHAnsi"/>
          <w:i/>
          <w:sz w:val="24"/>
          <w:szCs w:val="24"/>
        </w:rPr>
        <w:t xml:space="preserve">ot </w:t>
      </w:r>
      <w:r w:rsidR="00176ECE" w:rsidRPr="004B2F84">
        <w:rPr>
          <w:rFonts w:cstheme="minorHAnsi"/>
          <w:i/>
          <w:sz w:val="24"/>
          <w:szCs w:val="24"/>
        </w:rPr>
        <w:t xml:space="preserve">expired </w:t>
      </w:r>
      <w:r w:rsidR="00DE53CD" w:rsidRPr="004B2F84">
        <w:rPr>
          <w:rFonts w:cstheme="minorHAnsi"/>
          <w:i/>
          <w:sz w:val="24"/>
          <w:szCs w:val="24"/>
        </w:rPr>
        <w:t>as of</w:t>
      </w:r>
      <w:r w:rsidR="00176ECE" w:rsidRPr="004B2F84">
        <w:rPr>
          <w:rFonts w:cstheme="minorHAnsi"/>
          <w:i/>
          <w:sz w:val="24"/>
          <w:szCs w:val="24"/>
        </w:rPr>
        <w:t xml:space="preserve"> February 11, 2022</w:t>
      </w:r>
      <w:r w:rsidR="00AF58F4" w:rsidRPr="004B2F84">
        <w:rPr>
          <w:rFonts w:cstheme="minorHAnsi"/>
          <w:i/>
          <w:sz w:val="24"/>
          <w:szCs w:val="24"/>
        </w:rPr>
        <w:t xml:space="preserve"> (60 days prior to the 47</w:t>
      </w:r>
      <w:r w:rsidR="00AF58F4" w:rsidRPr="004B2F84">
        <w:rPr>
          <w:rFonts w:cstheme="minorHAnsi"/>
          <w:i/>
          <w:sz w:val="24"/>
          <w:szCs w:val="24"/>
          <w:vertAlign w:val="superscript"/>
        </w:rPr>
        <w:t>th</w:t>
      </w:r>
      <w:r w:rsidR="00AF58F4" w:rsidRPr="004B2F84">
        <w:rPr>
          <w:rFonts w:cstheme="minorHAnsi"/>
          <w:i/>
          <w:sz w:val="24"/>
          <w:szCs w:val="24"/>
        </w:rPr>
        <w:t xml:space="preserve"> Supplement Order date)</w:t>
      </w:r>
      <w:r w:rsidR="00176ECE" w:rsidRPr="004B2F84">
        <w:rPr>
          <w:rFonts w:cstheme="minorHAnsi"/>
          <w:i/>
          <w:sz w:val="24"/>
          <w:szCs w:val="24"/>
        </w:rPr>
        <w:t xml:space="preserve"> and</w:t>
      </w:r>
      <w:r w:rsidR="00FB56FE" w:rsidRPr="004B2F84">
        <w:rPr>
          <w:rFonts w:cstheme="minorHAnsi"/>
          <w:i/>
          <w:sz w:val="24"/>
          <w:szCs w:val="24"/>
        </w:rPr>
        <w:t xml:space="preserve"> </w:t>
      </w:r>
      <w:r w:rsidR="004B2F84" w:rsidRPr="004B2F84">
        <w:rPr>
          <w:rFonts w:cstheme="minorHAnsi"/>
          <w:i/>
          <w:sz w:val="24"/>
          <w:szCs w:val="24"/>
        </w:rPr>
        <w:t>will be</w:t>
      </w:r>
      <w:r w:rsidR="00FB56FE" w:rsidRPr="004B2F84">
        <w:rPr>
          <w:rFonts w:cstheme="minorHAnsi"/>
          <w:i/>
          <w:sz w:val="24"/>
          <w:szCs w:val="24"/>
        </w:rPr>
        <w:t xml:space="preserve"> e</w:t>
      </w:r>
      <w:r w:rsidR="00176ECE" w:rsidRPr="004B2F84">
        <w:rPr>
          <w:rFonts w:cstheme="minorHAnsi"/>
          <w:i/>
          <w:sz w:val="24"/>
          <w:szCs w:val="24"/>
        </w:rPr>
        <w:t>xpiring on or before August 31, 2022</w:t>
      </w:r>
      <w:r w:rsidR="004B2F84" w:rsidRPr="006A2367">
        <w:rPr>
          <w:rFonts w:cstheme="minorHAnsi"/>
          <w:sz w:val="24"/>
          <w:szCs w:val="24"/>
        </w:rPr>
        <w:t>.</w:t>
      </w:r>
      <w:r w:rsidR="004B2F84">
        <w:rPr>
          <w:rStyle w:val="FootnoteReference"/>
          <w:rFonts w:cstheme="minorHAnsi"/>
          <w:sz w:val="24"/>
          <w:szCs w:val="24"/>
        </w:rPr>
        <w:t xml:space="preserve"> </w:t>
      </w:r>
      <w:r w:rsidR="004B2F84">
        <w:rPr>
          <w:rFonts w:cstheme="minorHAnsi"/>
          <w:sz w:val="24"/>
          <w:szCs w:val="24"/>
        </w:rPr>
        <w:t xml:space="preserve"> </w:t>
      </w:r>
      <w:r w:rsidR="004B2F84" w:rsidRPr="004B2F84">
        <w:rPr>
          <w:rFonts w:cstheme="minorHAnsi"/>
          <w:sz w:val="24"/>
          <w:szCs w:val="24"/>
        </w:rPr>
        <w:t>The</w:t>
      </w:r>
      <w:r w:rsidR="004B2F84" w:rsidRPr="004B2F84">
        <w:rPr>
          <w:rFonts w:cstheme="minorHAnsi"/>
          <w:b/>
          <w:sz w:val="24"/>
          <w:szCs w:val="24"/>
        </w:rPr>
        <w:t xml:space="preserve"> </w:t>
      </w:r>
      <w:hyperlink r:id="rId9" w:history="1">
        <w:r w:rsidR="004B2F84" w:rsidRPr="004B2F84">
          <w:rPr>
            <w:rStyle w:val="Hyperlink"/>
            <w:rFonts w:cstheme="minorHAnsi"/>
            <w:sz w:val="24"/>
            <w:szCs w:val="24"/>
          </w:rPr>
          <w:t>47</w:t>
        </w:r>
        <w:r w:rsidR="004B2F84" w:rsidRPr="004B2F84">
          <w:rPr>
            <w:rStyle w:val="Hyperlink"/>
            <w:rFonts w:cstheme="minorHAnsi"/>
            <w:sz w:val="24"/>
            <w:szCs w:val="24"/>
            <w:vertAlign w:val="superscript"/>
          </w:rPr>
          <w:t>th</w:t>
        </w:r>
        <w:r w:rsidR="004B2F84" w:rsidRPr="004B2F84">
          <w:rPr>
            <w:rStyle w:val="Hyperlink"/>
            <w:rFonts w:cstheme="minorHAnsi"/>
            <w:sz w:val="24"/>
            <w:szCs w:val="24"/>
          </w:rPr>
          <w:t xml:space="preserve"> Supplement</w:t>
        </w:r>
      </w:hyperlink>
      <w:r w:rsidR="004B2F84" w:rsidRPr="004B2F84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4B2F84" w:rsidRPr="004B2F84">
        <w:t>also supersedes</w:t>
      </w:r>
      <w:r w:rsidR="004B2F84" w:rsidRPr="004B2F84">
        <w:rPr>
          <w:rFonts w:cstheme="minorHAnsi"/>
          <w:sz w:val="24"/>
          <w:szCs w:val="24"/>
        </w:rPr>
        <w:t xml:space="preserve"> the </w:t>
      </w:r>
      <w:hyperlink r:id="rId10" w:history="1">
        <w:r w:rsidR="004B2F84" w:rsidRPr="004B2F84">
          <w:rPr>
            <w:rStyle w:val="Hyperlink"/>
            <w:rFonts w:cstheme="minorHAnsi"/>
            <w:sz w:val="24"/>
            <w:szCs w:val="24"/>
          </w:rPr>
          <w:t>13</w:t>
        </w:r>
        <w:r w:rsidR="004B2F84" w:rsidRPr="004B2F84">
          <w:rPr>
            <w:rStyle w:val="Hyperlink"/>
            <w:rFonts w:cstheme="minorHAnsi"/>
            <w:sz w:val="24"/>
            <w:szCs w:val="24"/>
            <w:vertAlign w:val="superscript"/>
          </w:rPr>
          <w:t>th</w:t>
        </w:r>
        <w:r w:rsidR="004B2F84" w:rsidRPr="004B2F84">
          <w:rPr>
            <w:rStyle w:val="Hyperlink"/>
            <w:rFonts w:cstheme="minorHAnsi"/>
            <w:sz w:val="24"/>
            <w:szCs w:val="24"/>
          </w:rPr>
          <w:t xml:space="preserve"> Supplement</w:t>
        </w:r>
      </w:hyperlink>
      <w:r w:rsidR="004B2F84" w:rsidRPr="004B2F84">
        <w:rPr>
          <w:rFonts w:cstheme="minorHAnsi"/>
          <w:sz w:val="24"/>
          <w:szCs w:val="24"/>
        </w:rPr>
        <w:t xml:space="preserve"> and </w:t>
      </w:r>
      <w:hyperlink r:id="rId11" w:history="1">
        <w:r w:rsidR="004B2F84" w:rsidRPr="004B2F84">
          <w:rPr>
            <w:rStyle w:val="Hyperlink"/>
            <w:rFonts w:cstheme="minorHAnsi"/>
            <w:sz w:val="24"/>
            <w:szCs w:val="24"/>
          </w:rPr>
          <w:t>35</w:t>
        </w:r>
        <w:r w:rsidR="004B2F84" w:rsidRPr="004B2F84">
          <w:rPr>
            <w:rStyle w:val="Hyperlink"/>
            <w:rFonts w:cstheme="minorHAnsi"/>
            <w:sz w:val="24"/>
            <w:szCs w:val="24"/>
            <w:vertAlign w:val="superscript"/>
          </w:rPr>
          <w:t>th</w:t>
        </w:r>
        <w:r w:rsidR="004B2F84" w:rsidRPr="004B2F84">
          <w:rPr>
            <w:rStyle w:val="Hyperlink"/>
            <w:rFonts w:cstheme="minorHAnsi"/>
            <w:sz w:val="24"/>
            <w:szCs w:val="24"/>
          </w:rPr>
          <w:t xml:space="preserve"> Supplement</w:t>
        </w:r>
      </w:hyperlink>
      <w:r w:rsidR="004B2F84" w:rsidRPr="004B2F84">
        <w:rPr>
          <w:rFonts w:cstheme="minorHAnsi"/>
          <w:sz w:val="24"/>
          <w:szCs w:val="24"/>
        </w:rPr>
        <w:t xml:space="preserve"> with respect to </w:t>
      </w:r>
      <w:r w:rsidR="004B2F84" w:rsidRPr="004B2F84">
        <w:rPr>
          <w:rFonts w:cstheme="minorHAnsi"/>
          <w:i/>
          <w:sz w:val="24"/>
          <w:szCs w:val="24"/>
        </w:rPr>
        <w:t>extensions</w:t>
      </w:r>
      <w:r w:rsidR="004B2F84" w:rsidRPr="004B2F84">
        <w:rPr>
          <w:rFonts w:cstheme="minorHAnsi"/>
          <w:sz w:val="24"/>
          <w:szCs w:val="24"/>
        </w:rPr>
        <w:t xml:space="preserve"> of COVID a</w:t>
      </w:r>
      <w:bookmarkStart w:id="2" w:name="_GoBack"/>
      <w:bookmarkEnd w:id="2"/>
      <w:r w:rsidR="004B2F84" w:rsidRPr="004B2F84">
        <w:rPr>
          <w:rFonts w:cstheme="minorHAnsi"/>
          <w:sz w:val="24"/>
          <w:szCs w:val="24"/>
        </w:rPr>
        <w:t>nd non-COVID contracts.</w:t>
      </w:r>
    </w:p>
    <w:p w14:paraId="2F8609E7" w14:textId="77777777" w:rsidR="004B2F84" w:rsidRPr="006A2367" w:rsidRDefault="004B2F84" w:rsidP="004B2F84">
      <w:pPr>
        <w:pStyle w:val="ListParagraph"/>
        <w:spacing w:before="100" w:beforeAutospacing="1" w:after="80" w:line="120" w:lineRule="exact"/>
        <w:ind w:left="1080"/>
        <w:jc w:val="both"/>
        <w:rPr>
          <w:rFonts w:cstheme="minorHAnsi"/>
          <w:sz w:val="24"/>
          <w:szCs w:val="24"/>
        </w:rPr>
      </w:pPr>
    </w:p>
    <w:p w14:paraId="5032068D" w14:textId="2BF5C808" w:rsidR="00A54F36" w:rsidRPr="006A2367" w:rsidRDefault="00001CEF" w:rsidP="009E75AC">
      <w:pPr>
        <w:spacing w:after="0" w:line="240" w:lineRule="auto"/>
        <w:ind w:left="360" w:firstLine="720"/>
        <w:jc w:val="both"/>
        <w:rPr>
          <w:rFonts w:cstheme="minorHAnsi"/>
          <w:b/>
          <w:sz w:val="24"/>
          <w:szCs w:val="24"/>
          <w:u w:val="single"/>
        </w:rPr>
      </w:pPr>
      <w:r w:rsidRPr="006A2367">
        <w:rPr>
          <w:rFonts w:cstheme="minorHAnsi"/>
          <w:b/>
          <w:sz w:val="24"/>
          <w:szCs w:val="24"/>
          <w:u w:val="single"/>
        </w:rPr>
        <w:t>47</w:t>
      </w:r>
      <w:r w:rsidRPr="006A2367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Pr="006A2367">
        <w:rPr>
          <w:rFonts w:cstheme="minorHAnsi"/>
          <w:b/>
          <w:sz w:val="24"/>
          <w:szCs w:val="24"/>
          <w:u w:val="single"/>
        </w:rPr>
        <w:t xml:space="preserve"> Supplement </w:t>
      </w:r>
      <w:r w:rsidR="00176ECE" w:rsidRPr="006A2367">
        <w:rPr>
          <w:rFonts w:cstheme="minorHAnsi"/>
          <w:b/>
          <w:sz w:val="24"/>
          <w:szCs w:val="24"/>
          <w:u w:val="single"/>
        </w:rPr>
        <w:t xml:space="preserve">Approval </w:t>
      </w:r>
      <w:r w:rsidR="00A54F36" w:rsidRPr="006A2367">
        <w:rPr>
          <w:rFonts w:cstheme="minorHAnsi"/>
          <w:b/>
          <w:sz w:val="24"/>
          <w:szCs w:val="24"/>
          <w:u w:val="single"/>
        </w:rPr>
        <w:t xml:space="preserve">and Reporting </w:t>
      </w:r>
      <w:r w:rsidR="00176ECE" w:rsidRPr="006A2367">
        <w:rPr>
          <w:rFonts w:cstheme="minorHAnsi"/>
          <w:b/>
          <w:sz w:val="24"/>
          <w:szCs w:val="24"/>
          <w:u w:val="single"/>
        </w:rPr>
        <w:t>Process</w:t>
      </w:r>
      <w:r w:rsidR="00176ECE" w:rsidRPr="006A2367">
        <w:rPr>
          <w:rFonts w:cstheme="minorHAnsi"/>
          <w:b/>
          <w:sz w:val="24"/>
          <w:szCs w:val="24"/>
        </w:rPr>
        <w:t>:</w:t>
      </w:r>
      <w:r w:rsidR="00176ECE" w:rsidRPr="006A2367">
        <w:rPr>
          <w:rFonts w:cstheme="minorHAnsi"/>
          <w:b/>
          <w:sz w:val="24"/>
          <w:szCs w:val="24"/>
          <w:u w:val="single"/>
        </w:rPr>
        <w:t xml:space="preserve"> </w:t>
      </w:r>
    </w:p>
    <w:p w14:paraId="57E36C15" w14:textId="6CC662A5" w:rsidR="005A353D" w:rsidRPr="006A2367" w:rsidRDefault="009E75AC" w:rsidP="005A353D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>Contract Template:</w:t>
      </w:r>
      <w:r w:rsidRPr="006A2367">
        <w:rPr>
          <w:rFonts w:cstheme="minorHAnsi"/>
          <w:sz w:val="24"/>
          <w:szCs w:val="24"/>
        </w:rPr>
        <w:t xml:space="preserve"> Departments shall use standard contract amendment templates. However, t</w:t>
      </w:r>
      <w:r w:rsidR="005A353D" w:rsidRPr="006A2367">
        <w:rPr>
          <w:rFonts w:cstheme="minorHAnsi"/>
          <w:sz w:val="24"/>
          <w:szCs w:val="24"/>
        </w:rPr>
        <w:t>he amendment must reference the use of the 47</w:t>
      </w:r>
      <w:r w:rsidR="005A353D" w:rsidRPr="006A2367">
        <w:rPr>
          <w:rFonts w:cstheme="minorHAnsi"/>
          <w:sz w:val="24"/>
          <w:szCs w:val="24"/>
          <w:vertAlign w:val="superscript"/>
        </w:rPr>
        <w:t>th</w:t>
      </w:r>
      <w:r w:rsidR="005A353D" w:rsidRPr="006A2367">
        <w:rPr>
          <w:rFonts w:cstheme="minorHAnsi"/>
          <w:sz w:val="24"/>
          <w:szCs w:val="24"/>
        </w:rPr>
        <w:t xml:space="preserve"> Supplement in its Whereas Clauses.</w:t>
      </w:r>
    </w:p>
    <w:p w14:paraId="76A6AC6E" w14:textId="7E77382A" w:rsidR="00DD5ACA" w:rsidRPr="006A2367" w:rsidRDefault="009E75AC" w:rsidP="00DD5AC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>PeopleSoft</w:t>
      </w:r>
      <w:r w:rsidR="0042027C">
        <w:rPr>
          <w:rFonts w:cstheme="minorHAnsi"/>
          <w:b/>
          <w:sz w:val="24"/>
          <w:szCs w:val="24"/>
        </w:rPr>
        <w:t xml:space="preserve"> (PS)</w:t>
      </w:r>
      <w:r w:rsidRPr="006A2367">
        <w:rPr>
          <w:rFonts w:cstheme="minorHAnsi"/>
          <w:b/>
          <w:sz w:val="24"/>
          <w:szCs w:val="24"/>
        </w:rPr>
        <w:t>:</w:t>
      </w:r>
      <w:r w:rsidRPr="006A2367">
        <w:rPr>
          <w:rFonts w:cstheme="minorHAnsi"/>
          <w:sz w:val="24"/>
          <w:szCs w:val="24"/>
        </w:rPr>
        <w:t xml:space="preserve"> </w:t>
      </w:r>
      <w:r w:rsidR="00DD5ACA" w:rsidRPr="006A2367">
        <w:rPr>
          <w:rFonts w:cstheme="minorHAnsi"/>
          <w:sz w:val="24"/>
          <w:szCs w:val="24"/>
        </w:rPr>
        <w:t xml:space="preserve">Departments </w:t>
      </w:r>
      <w:r w:rsidRPr="006A2367">
        <w:rPr>
          <w:rFonts w:cstheme="minorHAnsi"/>
          <w:sz w:val="24"/>
          <w:szCs w:val="24"/>
        </w:rPr>
        <w:t xml:space="preserve">shall upload to PS standard supporting documents but </w:t>
      </w:r>
      <w:r w:rsidR="00DD5ACA" w:rsidRPr="006A2367">
        <w:rPr>
          <w:rFonts w:cstheme="minorHAnsi"/>
          <w:sz w:val="24"/>
          <w:szCs w:val="24"/>
        </w:rPr>
        <w:t xml:space="preserve">will </w:t>
      </w:r>
      <w:r w:rsidRPr="006A2367">
        <w:rPr>
          <w:rFonts w:cstheme="minorHAnsi"/>
          <w:sz w:val="24"/>
          <w:szCs w:val="24"/>
        </w:rPr>
        <w:t xml:space="preserve">also </w:t>
      </w:r>
      <w:r w:rsidR="00DD5ACA" w:rsidRPr="006A2367">
        <w:rPr>
          <w:rFonts w:cstheme="minorHAnsi"/>
          <w:sz w:val="24"/>
          <w:szCs w:val="24"/>
        </w:rPr>
        <w:t>be required select the “Mayor’s ER Declaration 47th Supplement” checkbox.</w:t>
      </w:r>
    </w:p>
    <w:p w14:paraId="2C76873B" w14:textId="77777777" w:rsidR="009E75AC" w:rsidRPr="006A2367" w:rsidRDefault="009E75AC" w:rsidP="009E75A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 xml:space="preserve">Approvals and Waivers: </w:t>
      </w:r>
      <w:r w:rsidR="00176ECE" w:rsidRPr="006A2367">
        <w:rPr>
          <w:rFonts w:cstheme="minorHAnsi"/>
          <w:sz w:val="24"/>
          <w:szCs w:val="24"/>
        </w:rPr>
        <w:t>Departments must obtain all</w:t>
      </w:r>
      <w:r w:rsidR="00A705EE" w:rsidRPr="006A2367">
        <w:rPr>
          <w:rFonts w:cstheme="minorHAnsi"/>
          <w:sz w:val="24"/>
          <w:szCs w:val="24"/>
        </w:rPr>
        <w:t xml:space="preserve"> </w:t>
      </w:r>
      <w:r w:rsidR="00176ECE" w:rsidRPr="006A2367">
        <w:rPr>
          <w:rFonts w:cstheme="minorHAnsi"/>
          <w:sz w:val="24"/>
          <w:szCs w:val="24"/>
        </w:rPr>
        <w:t>standard</w:t>
      </w:r>
      <w:r w:rsidR="003D4DF9" w:rsidRPr="006A2367">
        <w:rPr>
          <w:rFonts w:cstheme="minorHAnsi"/>
          <w:sz w:val="24"/>
          <w:szCs w:val="24"/>
        </w:rPr>
        <w:t>/applicable</w:t>
      </w:r>
      <w:r w:rsidR="00176ECE" w:rsidRPr="006A2367">
        <w:rPr>
          <w:rFonts w:cstheme="minorHAnsi"/>
          <w:sz w:val="24"/>
          <w:szCs w:val="24"/>
        </w:rPr>
        <w:t xml:space="preserve"> approvals</w:t>
      </w:r>
      <w:r w:rsidR="00A54F36" w:rsidRPr="006A2367">
        <w:rPr>
          <w:rFonts w:cstheme="minorHAnsi"/>
          <w:sz w:val="24"/>
          <w:szCs w:val="24"/>
        </w:rPr>
        <w:t xml:space="preserve"> prior to execution of the amendment</w:t>
      </w:r>
      <w:r w:rsidR="00176ECE" w:rsidRPr="006A2367">
        <w:rPr>
          <w:rFonts w:cstheme="minorHAnsi"/>
          <w:sz w:val="24"/>
          <w:szCs w:val="24"/>
        </w:rPr>
        <w:t>.</w:t>
      </w:r>
      <w:r w:rsidRPr="006A2367">
        <w:rPr>
          <w:rStyle w:val="FootnoteReference"/>
          <w:rFonts w:cstheme="minorHAnsi"/>
          <w:sz w:val="24"/>
          <w:szCs w:val="24"/>
        </w:rPr>
        <w:footnoteReference w:id="1"/>
      </w:r>
      <w:r w:rsidR="00176ECE" w:rsidRPr="006A2367">
        <w:rPr>
          <w:rFonts w:cstheme="minorHAnsi"/>
          <w:sz w:val="24"/>
          <w:szCs w:val="24"/>
        </w:rPr>
        <w:t xml:space="preserve"> </w:t>
      </w:r>
      <w:r w:rsidR="00A54F36" w:rsidRPr="006A2367">
        <w:rPr>
          <w:rFonts w:cstheme="minorHAnsi"/>
          <w:sz w:val="24"/>
          <w:szCs w:val="24"/>
        </w:rPr>
        <w:t xml:space="preserve">The Controller’s concurrence </w:t>
      </w:r>
      <w:r w:rsidR="00F404B3" w:rsidRPr="006A2367">
        <w:rPr>
          <w:rFonts w:cstheme="minorHAnsi"/>
          <w:sz w:val="24"/>
          <w:szCs w:val="24"/>
        </w:rPr>
        <w:t xml:space="preserve">memo </w:t>
      </w:r>
      <w:r w:rsidR="00A54F36" w:rsidRPr="006A2367">
        <w:rPr>
          <w:rFonts w:cstheme="minorHAnsi"/>
          <w:sz w:val="24"/>
          <w:szCs w:val="24"/>
        </w:rPr>
        <w:t>and approval</w:t>
      </w:r>
      <w:r w:rsidR="00717971" w:rsidRPr="006A2367">
        <w:rPr>
          <w:rFonts w:cstheme="minorHAnsi"/>
          <w:sz w:val="24"/>
          <w:szCs w:val="24"/>
        </w:rPr>
        <w:t>,</w:t>
      </w:r>
      <w:r w:rsidR="00A54F36" w:rsidRPr="006A2367">
        <w:rPr>
          <w:rFonts w:cstheme="minorHAnsi"/>
          <w:sz w:val="24"/>
          <w:szCs w:val="24"/>
        </w:rPr>
        <w:t xml:space="preserve"> which </w:t>
      </w:r>
      <w:r w:rsidR="00F404B3" w:rsidRPr="006A2367">
        <w:rPr>
          <w:rFonts w:cstheme="minorHAnsi"/>
          <w:sz w:val="24"/>
          <w:szCs w:val="24"/>
        </w:rPr>
        <w:t xml:space="preserve">were </w:t>
      </w:r>
      <w:r w:rsidR="00A54F36" w:rsidRPr="006A2367">
        <w:rPr>
          <w:rFonts w:cstheme="minorHAnsi"/>
          <w:sz w:val="24"/>
          <w:szCs w:val="24"/>
        </w:rPr>
        <w:t>required for the 13</w:t>
      </w:r>
      <w:r w:rsidR="00A54F36" w:rsidRPr="006A2367">
        <w:rPr>
          <w:rFonts w:cstheme="minorHAnsi"/>
          <w:sz w:val="24"/>
          <w:szCs w:val="24"/>
          <w:vertAlign w:val="superscript"/>
        </w:rPr>
        <w:t>th</w:t>
      </w:r>
      <w:r w:rsidR="00A54F36" w:rsidRPr="006A2367">
        <w:rPr>
          <w:rFonts w:cstheme="minorHAnsi"/>
          <w:sz w:val="24"/>
          <w:szCs w:val="24"/>
        </w:rPr>
        <w:t xml:space="preserve"> and 35</w:t>
      </w:r>
      <w:r w:rsidR="00A54F36" w:rsidRPr="006A2367">
        <w:rPr>
          <w:rFonts w:cstheme="minorHAnsi"/>
          <w:sz w:val="24"/>
          <w:szCs w:val="24"/>
          <w:vertAlign w:val="superscript"/>
        </w:rPr>
        <w:t>th</w:t>
      </w:r>
      <w:r w:rsidR="00A54F36" w:rsidRPr="006A2367">
        <w:rPr>
          <w:rFonts w:cstheme="minorHAnsi"/>
          <w:sz w:val="24"/>
          <w:szCs w:val="24"/>
        </w:rPr>
        <w:t xml:space="preserve"> Supplements</w:t>
      </w:r>
      <w:r w:rsidR="00717971" w:rsidRPr="006A2367">
        <w:rPr>
          <w:rFonts w:cstheme="minorHAnsi"/>
          <w:sz w:val="24"/>
          <w:szCs w:val="24"/>
        </w:rPr>
        <w:t>,</w:t>
      </w:r>
      <w:r w:rsidR="00A54F36" w:rsidRPr="006A2367">
        <w:rPr>
          <w:rFonts w:cstheme="minorHAnsi"/>
          <w:sz w:val="24"/>
          <w:szCs w:val="24"/>
        </w:rPr>
        <w:t xml:space="preserve"> </w:t>
      </w:r>
      <w:r w:rsidR="00F404B3" w:rsidRPr="006A2367">
        <w:rPr>
          <w:rFonts w:cstheme="minorHAnsi"/>
          <w:sz w:val="24"/>
          <w:szCs w:val="24"/>
        </w:rPr>
        <w:t>are</w:t>
      </w:r>
      <w:r w:rsidR="00A54F36" w:rsidRPr="006A2367">
        <w:rPr>
          <w:rFonts w:cstheme="minorHAnsi"/>
          <w:sz w:val="24"/>
          <w:szCs w:val="24"/>
        </w:rPr>
        <w:t xml:space="preserve"> </w:t>
      </w:r>
      <w:r w:rsidR="00DD5ACA" w:rsidRPr="006A2367">
        <w:rPr>
          <w:rFonts w:cstheme="minorHAnsi"/>
          <w:sz w:val="24"/>
          <w:szCs w:val="24"/>
        </w:rPr>
        <w:t>no longer</w:t>
      </w:r>
      <w:r w:rsidR="00A54F36" w:rsidRPr="006A2367">
        <w:rPr>
          <w:rFonts w:cstheme="minorHAnsi"/>
          <w:sz w:val="24"/>
          <w:szCs w:val="24"/>
        </w:rPr>
        <w:t xml:space="preserve"> required</w:t>
      </w:r>
      <w:r w:rsidR="00A93EBE" w:rsidRPr="006A2367">
        <w:rPr>
          <w:rFonts w:cstheme="minorHAnsi"/>
          <w:sz w:val="24"/>
          <w:szCs w:val="24"/>
        </w:rPr>
        <w:t>.</w:t>
      </w:r>
      <w:r w:rsidR="00FB56FE" w:rsidRPr="006A2367">
        <w:rPr>
          <w:rFonts w:cstheme="minorHAnsi"/>
          <w:sz w:val="24"/>
          <w:szCs w:val="24"/>
        </w:rPr>
        <w:t xml:space="preserve"> </w:t>
      </w:r>
    </w:p>
    <w:p w14:paraId="510737AB" w14:textId="75F4BAE0" w:rsidR="009E75AC" w:rsidRPr="006A2367" w:rsidRDefault="009E75AC" w:rsidP="009E75A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>Retroactive Approvals and Waivers:</w:t>
      </w:r>
      <w:r w:rsidRPr="006A2367">
        <w:rPr>
          <w:rFonts w:cstheme="minorHAnsi"/>
          <w:i/>
          <w:sz w:val="24"/>
          <w:szCs w:val="24"/>
        </w:rPr>
        <w:t xml:space="preserve"> </w:t>
      </w:r>
      <w:r w:rsidR="003D4DF9" w:rsidRPr="006A2367">
        <w:rPr>
          <w:rFonts w:cstheme="minorHAnsi"/>
          <w:sz w:val="24"/>
          <w:szCs w:val="24"/>
        </w:rPr>
        <w:t xml:space="preserve">To the extent </w:t>
      </w:r>
      <w:r w:rsidR="00717971" w:rsidRPr="006A2367">
        <w:rPr>
          <w:rFonts w:cstheme="minorHAnsi"/>
          <w:sz w:val="24"/>
          <w:szCs w:val="24"/>
        </w:rPr>
        <w:t>d</w:t>
      </w:r>
      <w:r w:rsidR="005A353D" w:rsidRPr="006A2367">
        <w:rPr>
          <w:rFonts w:cstheme="minorHAnsi"/>
          <w:sz w:val="24"/>
          <w:szCs w:val="24"/>
        </w:rPr>
        <w:t>epartments</w:t>
      </w:r>
      <w:r w:rsidR="003D4DF9" w:rsidRPr="006A2367">
        <w:rPr>
          <w:rFonts w:cstheme="minorHAnsi"/>
          <w:sz w:val="24"/>
          <w:szCs w:val="24"/>
        </w:rPr>
        <w:t xml:space="preserve"> have bypassed prior approvals and waivers</w:t>
      </w:r>
      <w:r w:rsidR="00A93EBE" w:rsidRPr="006A2367">
        <w:rPr>
          <w:rFonts w:cstheme="minorHAnsi"/>
          <w:sz w:val="24"/>
          <w:szCs w:val="24"/>
        </w:rPr>
        <w:t xml:space="preserve"> because </w:t>
      </w:r>
      <w:r w:rsidR="005A353D" w:rsidRPr="006A2367">
        <w:rPr>
          <w:rFonts w:cstheme="minorHAnsi"/>
          <w:sz w:val="24"/>
          <w:szCs w:val="24"/>
        </w:rPr>
        <w:t xml:space="preserve">the </w:t>
      </w:r>
      <w:r w:rsidR="00A93EBE" w:rsidRPr="006A2367">
        <w:rPr>
          <w:rFonts w:cstheme="minorHAnsi"/>
          <w:sz w:val="24"/>
          <w:szCs w:val="24"/>
        </w:rPr>
        <w:t xml:space="preserve">contract was executed </w:t>
      </w:r>
      <w:r w:rsidRPr="006A2367">
        <w:rPr>
          <w:rFonts w:cstheme="minorHAnsi"/>
          <w:sz w:val="24"/>
          <w:szCs w:val="24"/>
        </w:rPr>
        <w:t xml:space="preserve">or amended </w:t>
      </w:r>
      <w:r w:rsidR="00A93EBE" w:rsidRPr="006A2367">
        <w:rPr>
          <w:rFonts w:cstheme="minorHAnsi"/>
          <w:sz w:val="24"/>
          <w:szCs w:val="24"/>
        </w:rPr>
        <w:t xml:space="preserve">pursuant to </w:t>
      </w:r>
      <w:r w:rsidRPr="006A2367">
        <w:rPr>
          <w:rFonts w:cstheme="minorHAnsi"/>
          <w:sz w:val="24"/>
          <w:szCs w:val="24"/>
        </w:rPr>
        <w:t xml:space="preserve">procedures authorized by </w:t>
      </w:r>
      <w:r w:rsidR="00A93EBE" w:rsidRPr="006A2367">
        <w:rPr>
          <w:rFonts w:cstheme="minorHAnsi"/>
          <w:sz w:val="24"/>
          <w:szCs w:val="24"/>
        </w:rPr>
        <w:t>the 13</w:t>
      </w:r>
      <w:r w:rsidR="00DD5ACA" w:rsidRPr="006A2367">
        <w:rPr>
          <w:rFonts w:cstheme="minorHAnsi"/>
          <w:sz w:val="24"/>
          <w:szCs w:val="24"/>
          <w:vertAlign w:val="superscript"/>
        </w:rPr>
        <w:t>th</w:t>
      </w:r>
      <w:r w:rsidR="00DD5ACA" w:rsidRPr="006A2367">
        <w:rPr>
          <w:rFonts w:cstheme="minorHAnsi"/>
          <w:sz w:val="24"/>
          <w:szCs w:val="24"/>
        </w:rPr>
        <w:t xml:space="preserve"> </w:t>
      </w:r>
      <w:r w:rsidR="00A93EBE" w:rsidRPr="006A2367">
        <w:rPr>
          <w:rFonts w:cstheme="minorHAnsi"/>
          <w:sz w:val="24"/>
          <w:szCs w:val="24"/>
        </w:rPr>
        <w:t>or 35</w:t>
      </w:r>
      <w:r w:rsidR="00DD5ACA" w:rsidRPr="006A2367">
        <w:rPr>
          <w:rFonts w:cstheme="minorHAnsi"/>
          <w:sz w:val="24"/>
          <w:szCs w:val="24"/>
          <w:vertAlign w:val="superscript"/>
        </w:rPr>
        <w:t>th</w:t>
      </w:r>
      <w:r w:rsidR="00DD5ACA" w:rsidRPr="006A2367">
        <w:rPr>
          <w:rFonts w:cstheme="minorHAnsi"/>
          <w:sz w:val="24"/>
          <w:szCs w:val="24"/>
        </w:rPr>
        <w:t xml:space="preserve"> </w:t>
      </w:r>
      <w:r w:rsidR="00A93EBE" w:rsidRPr="006A2367">
        <w:rPr>
          <w:rFonts w:cstheme="minorHAnsi"/>
          <w:sz w:val="24"/>
          <w:szCs w:val="24"/>
        </w:rPr>
        <w:t xml:space="preserve">Supplements, </w:t>
      </w:r>
      <w:r w:rsidR="005A353D" w:rsidRPr="006A2367">
        <w:rPr>
          <w:rFonts w:cstheme="minorHAnsi"/>
          <w:sz w:val="24"/>
          <w:szCs w:val="24"/>
        </w:rPr>
        <w:t xml:space="preserve">the department </w:t>
      </w:r>
      <w:r w:rsidR="003D4DF9" w:rsidRPr="006A2367">
        <w:rPr>
          <w:rFonts w:cstheme="minorHAnsi"/>
          <w:sz w:val="24"/>
          <w:szCs w:val="24"/>
        </w:rPr>
        <w:t xml:space="preserve"> must </w:t>
      </w:r>
      <w:r w:rsidR="00DD5ACA" w:rsidRPr="006A2367">
        <w:rPr>
          <w:rFonts w:cstheme="minorHAnsi"/>
          <w:sz w:val="24"/>
          <w:szCs w:val="24"/>
        </w:rPr>
        <w:t xml:space="preserve">now </w:t>
      </w:r>
      <w:r w:rsidR="003D4DF9" w:rsidRPr="006A2367">
        <w:rPr>
          <w:rFonts w:cstheme="minorHAnsi"/>
          <w:sz w:val="24"/>
          <w:szCs w:val="24"/>
        </w:rPr>
        <w:t>obtain th</w:t>
      </w:r>
      <w:r w:rsidR="00A93EBE" w:rsidRPr="006A2367">
        <w:rPr>
          <w:rFonts w:cstheme="minorHAnsi"/>
          <w:sz w:val="24"/>
          <w:szCs w:val="24"/>
        </w:rPr>
        <w:t>ose approvals and waivers, retroactively,</w:t>
      </w:r>
      <w:r w:rsidR="003D4DF9" w:rsidRPr="006A2367">
        <w:rPr>
          <w:rFonts w:cstheme="minorHAnsi"/>
          <w:sz w:val="24"/>
          <w:szCs w:val="24"/>
        </w:rPr>
        <w:t xml:space="preserve"> </w:t>
      </w:r>
      <w:r w:rsidR="00DD5ACA" w:rsidRPr="006A2367">
        <w:rPr>
          <w:rFonts w:cstheme="minorHAnsi"/>
          <w:sz w:val="24"/>
          <w:szCs w:val="24"/>
        </w:rPr>
        <w:t>pursuant to each program’s emergency wavier exception</w:t>
      </w:r>
      <w:r w:rsidR="00A93EBE" w:rsidRPr="006A2367">
        <w:rPr>
          <w:rFonts w:cstheme="minorHAnsi"/>
          <w:sz w:val="24"/>
          <w:szCs w:val="24"/>
        </w:rPr>
        <w:t xml:space="preserve">. </w:t>
      </w:r>
    </w:p>
    <w:p w14:paraId="2A0AABAB" w14:textId="77777777" w:rsidR="009E75AC" w:rsidRPr="006A2367" w:rsidRDefault="00A93EBE" w:rsidP="009E75A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 xml:space="preserve">Ensure the approvals and waivers are for an amount and duration equal to the contract amount and duration. </w:t>
      </w:r>
    </w:p>
    <w:p w14:paraId="1A3DF6BA" w14:textId="54115043" w:rsidR="006C229E" w:rsidRPr="006F1800" w:rsidRDefault="00663334" w:rsidP="0008446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F1800">
        <w:rPr>
          <w:rFonts w:cstheme="minorHAnsi"/>
          <w:sz w:val="24"/>
          <w:szCs w:val="24"/>
        </w:rPr>
        <w:t>I</w:t>
      </w:r>
      <w:r w:rsidR="009E75AC" w:rsidRPr="006F1800">
        <w:rPr>
          <w:rFonts w:cstheme="minorHAnsi"/>
          <w:sz w:val="24"/>
          <w:szCs w:val="24"/>
        </w:rPr>
        <w:t>nform the approving agency that the request is for an amendment being executed pursuant to the 47</w:t>
      </w:r>
      <w:r w:rsidR="009E75AC" w:rsidRPr="006F1800">
        <w:rPr>
          <w:rFonts w:cstheme="minorHAnsi"/>
          <w:sz w:val="24"/>
          <w:szCs w:val="24"/>
          <w:vertAlign w:val="superscript"/>
        </w:rPr>
        <w:t>th</w:t>
      </w:r>
      <w:r w:rsidR="009E75AC" w:rsidRPr="006F1800">
        <w:rPr>
          <w:rFonts w:cstheme="minorHAnsi"/>
          <w:sz w:val="24"/>
          <w:szCs w:val="24"/>
        </w:rPr>
        <w:t xml:space="preserve"> Supplement.</w:t>
      </w:r>
      <w:r w:rsidR="006C229E" w:rsidRPr="006F1800">
        <w:rPr>
          <w:rFonts w:cstheme="minorHAnsi"/>
          <w:sz w:val="24"/>
          <w:szCs w:val="24"/>
        </w:rPr>
        <w:br w:type="page"/>
      </w:r>
    </w:p>
    <w:p w14:paraId="3B5EE608" w14:textId="113E332D" w:rsidR="005468D2" w:rsidRPr="006A2367" w:rsidRDefault="009E75AC" w:rsidP="006C229E">
      <w:pPr>
        <w:pStyle w:val="ListParagraph"/>
        <w:spacing w:after="0" w:line="240" w:lineRule="auto"/>
        <w:ind w:left="252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lastRenderedPageBreak/>
        <w:t xml:space="preserve"> </w:t>
      </w:r>
    </w:p>
    <w:p w14:paraId="265A76EA" w14:textId="3740F035" w:rsidR="005468D2" w:rsidRPr="006A2367" w:rsidRDefault="005468D2" w:rsidP="00DD5AC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>Non</w:t>
      </w:r>
      <w:r w:rsidR="00722759">
        <w:rPr>
          <w:rFonts w:cstheme="minorHAnsi"/>
          <w:b/>
          <w:sz w:val="24"/>
          <w:szCs w:val="24"/>
        </w:rPr>
        <w:t>-</w:t>
      </w:r>
      <w:r w:rsidRPr="006A2367">
        <w:rPr>
          <w:rFonts w:cstheme="minorHAnsi"/>
          <w:b/>
          <w:sz w:val="24"/>
          <w:szCs w:val="24"/>
        </w:rPr>
        <w:t xml:space="preserve">Applicability of </w:t>
      </w:r>
      <w:r w:rsidR="009E75AC" w:rsidRPr="006A2367">
        <w:rPr>
          <w:rFonts w:cstheme="minorHAnsi"/>
          <w:b/>
          <w:sz w:val="24"/>
          <w:szCs w:val="24"/>
        </w:rPr>
        <w:t xml:space="preserve">Certain </w:t>
      </w:r>
      <w:r w:rsidR="004F5B51" w:rsidRPr="006A2367">
        <w:rPr>
          <w:rFonts w:cstheme="minorHAnsi"/>
          <w:b/>
          <w:sz w:val="24"/>
          <w:szCs w:val="24"/>
        </w:rPr>
        <w:t>Contracting</w:t>
      </w:r>
      <w:r w:rsidRPr="006A2367">
        <w:rPr>
          <w:rFonts w:cstheme="minorHAnsi"/>
          <w:b/>
          <w:sz w:val="24"/>
          <w:szCs w:val="24"/>
        </w:rPr>
        <w:t xml:space="preserve"> Provisions:</w:t>
      </w:r>
      <w:r w:rsidRPr="006A2367">
        <w:rPr>
          <w:rFonts w:cstheme="minorHAnsi"/>
          <w:sz w:val="24"/>
          <w:szCs w:val="24"/>
        </w:rPr>
        <w:t xml:space="preserve"> </w:t>
      </w:r>
    </w:p>
    <w:p w14:paraId="3688BD87" w14:textId="5C441901" w:rsidR="00717971" w:rsidRPr="006A2367" w:rsidRDefault="005468D2" w:rsidP="005468D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 xml:space="preserve">Federal Funds: </w:t>
      </w:r>
      <w:r w:rsidRPr="006A2367">
        <w:rPr>
          <w:rFonts w:cstheme="minorHAnsi"/>
          <w:sz w:val="24"/>
          <w:szCs w:val="24"/>
        </w:rPr>
        <w:t>W</w:t>
      </w:r>
      <w:r w:rsidR="00717971" w:rsidRPr="006A2367">
        <w:rPr>
          <w:rFonts w:cstheme="minorHAnsi"/>
          <w:sz w:val="24"/>
          <w:szCs w:val="24"/>
        </w:rPr>
        <w:t>here federal funding is involved, local preferences pertaining to the 12X, 14B and First Sourcing/Local Hiring program are automatically deemed not applicable</w:t>
      </w:r>
      <w:r w:rsidR="00DD5ACA" w:rsidRPr="006A2367">
        <w:rPr>
          <w:rFonts w:cstheme="minorHAnsi"/>
          <w:sz w:val="24"/>
          <w:szCs w:val="24"/>
        </w:rPr>
        <w:t xml:space="preserve"> and waivers are not required</w:t>
      </w:r>
      <w:r w:rsidR="00717971" w:rsidRPr="006A2367">
        <w:rPr>
          <w:rFonts w:cstheme="minorHAnsi"/>
          <w:sz w:val="24"/>
          <w:szCs w:val="24"/>
        </w:rPr>
        <w:t>.</w:t>
      </w:r>
    </w:p>
    <w:p w14:paraId="02D8BF2C" w14:textId="329CD970" w:rsidR="005468D2" w:rsidRPr="006A2367" w:rsidRDefault="006D3B05" w:rsidP="005468D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>Non</w:t>
      </w:r>
      <w:r w:rsidR="009E75AC" w:rsidRPr="006A2367">
        <w:rPr>
          <w:rFonts w:cstheme="minorHAnsi"/>
          <w:b/>
          <w:sz w:val="24"/>
          <w:szCs w:val="24"/>
        </w:rPr>
        <w:t>-</w:t>
      </w:r>
      <w:r w:rsidR="007F3BFE" w:rsidRPr="006A2367">
        <w:rPr>
          <w:rFonts w:cstheme="minorHAnsi"/>
          <w:b/>
          <w:sz w:val="24"/>
          <w:szCs w:val="24"/>
        </w:rPr>
        <w:t>Applicability of Chapter 14B to Emergency</w:t>
      </w:r>
      <w:r w:rsidR="009E75AC" w:rsidRPr="006A2367">
        <w:rPr>
          <w:rFonts w:cstheme="minorHAnsi"/>
          <w:b/>
          <w:sz w:val="24"/>
          <w:szCs w:val="24"/>
        </w:rPr>
        <w:t xml:space="preserve"> Contracts</w:t>
      </w:r>
      <w:r w:rsidR="005468D2" w:rsidRPr="006A2367">
        <w:rPr>
          <w:rFonts w:cstheme="minorHAnsi"/>
          <w:b/>
          <w:sz w:val="24"/>
          <w:szCs w:val="24"/>
        </w:rPr>
        <w:t>: “</w:t>
      </w:r>
      <w:r w:rsidR="005468D2" w:rsidRPr="006A2367">
        <w:rPr>
          <w:rFonts w:cstheme="minorHAnsi"/>
          <w:sz w:val="24"/>
          <w:szCs w:val="24"/>
        </w:rPr>
        <w:t xml:space="preserve">Emergency Contracts” are definitionally exempt from Chapter 14B and, as such, waivers are not required with respect to removing LBE bid discounts/rating bonuses and/or subcontracting goals. </w:t>
      </w:r>
    </w:p>
    <w:p w14:paraId="41F11661" w14:textId="77777777" w:rsidR="00A54F36" w:rsidRPr="006A2367" w:rsidRDefault="00A54F36" w:rsidP="009B2699">
      <w:pPr>
        <w:pStyle w:val="ListParagraph"/>
        <w:spacing w:before="100" w:beforeAutospacing="1" w:after="100" w:afterAutospacing="1" w:line="120" w:lineRule="exact"/>
        <w:ind w:left="1080"/>
        <w:jc w:val="both"/>
        <w:rPr>
          <w:rFonts w:cstheme="minorHAnsi"/>
          <w:sz w:val="24"/>
          <w:szCs w:val="24"/>
        </w:rPr>
      </w:pPr>
    </w:p>
    <w:p w14:paraId="1933D38E" w14:textId="77777777" w:rsidR="00D11815" w:rsidRPr="006A2367" w:rsidRDefault="00D11815" w:rsidP="008A61DE">
      <w:pPr>
        <w:pStyle w:val="ListParagraph"/>
        <w:spacing w:before="100" w:beforeAutospacing="1" w:after="100" w:afterAutospacing="1" w:line="120" w:lineRule="exact"/>
        <w:ind w:left="1080"/>
        <w:jc w:val="both"/>
        <w:rPr>
          <w:rFonts w:cstheme="minorHAnsi"/>
          <w:sz w:val="24"/>
          <w:szCs w:val="24"/>
        </w:rPr>
      </w:pPr>
    </w:p>
    <w:p w14:paraId="321AD3B9" w14:textId="7248E7B4" w:rsidR="00D8232B" w:rsidRPr="006A2367" w:rsidRDefault="00D8232B" w:rsidP="00D8232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  <w:bookmarkStart w:id="3" w:name="III"/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Extension of Prequalified Pools</w:t>
      </w:r>
    </w:p>
    <w:bookmarkEnd w:id="3"/>
    <w:p w14:paraId="71EDDA53" w14:textId="4B46FD48" w:rsidR="00D8232B" w:rsidRPr="006A2367" w:rsidRDefault="00D8232B" w:rsidP="00D8232B">
      <w:pPr>
        <w:pStyle w:val="ListParagraph"/>
        <w:spacing w:before="120" w:after="100" w:afterAutospacing="1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>The</w:t>
      </w:r>
      <w:r w:rsidRPr="006A2367">
        <w:rPr>
          <w:rFonts w:cstheme="minorHAnsi"/>
          <w:b/>
          <w:sz w:val="24"/>
          <w:szCs w:val="24"/>
        </w:rPr>
        <w:t xml:space="preserve"> </w:t>
      </w:r>
      <w:hyperlink r:id="rId12" w:history="1">
        <w:r w:rsidRPr="006A2367">
          <w:rPr>
            <w:rStyle w:val="Hyperlink"/>
            <w:rFonts w:cstheme="minorHAnsi"/>
            <w:sz w:val="24"/>
            <w:szCs w:val="24"/>
          </w:rPr>
          <w:t>47</w:t>
        </w:r>
        <w:r w:rsidRPr="006A2367">
          <w:rPr>
            <w:rStyle w:val="Hyperlink"/>
            <w:rFonts w:cstheme="minorHAnsi"/>
            <w:sz w:val="24"/>
            <w:szCs w:val="24"/>
            <w:vertAlign w:val="superscript"/>
          </w:rPr>
          <w:t>th</w:t>
        </w:r>
        <w:r w:rsidRPr="006A2367">
          <w:rPr>
            <w:rStyle w:val="Hyperlink"/>
            <w:rFonts w:cstheme="minorHAnsi"/>
            <w:sz w:val="24"/>
            <w:szCs w:val="24"/>
          </w:rPr>
          <w:t xml:space="preserve"> Supplement </w:t>
        </w:r>
      </w:hyperlink>
      <w:r w:rsidR="00DE53CD" w:rsidRPr="006A2367">
        <w:rPr>
          <w:rFonts w:cstheme="minorHAnsi"/>
          <w:sz w:val="24"/>
          <w:szCs w:val="24"/>
        </w:rPr>
        <w:t>a</w:t>
      </w:r>
      <w:r w:rsidRPr="006A2367">
        <w:rPr>
          <w:rFonts w:cstheme="minorHAnsi"/>
          <w:sz w:val="24"/>
          <w:szCs w:val="24"/>
        </w:rPr>
        <w:t xml:space="preserve">uthorizes </w:t>
      </w:r>
      <w:r w:rsidR="00DE53CD" w:rsidRPr="006A2367">
        <w:rPr>
          <w:rFonts w:cstheme="minorHAnsi"/>
          <w:sz w:val="24"/>
          <w:szCs w:val="24"/>
        </w:rPr>
        <w:t>d</w:t>
      </w:r>
      <w:r w:rsidRPr="006A2367">
        <w:rPr>
          <w:rFonts w:cstheme="minorHAnsi"/>
          <w:sz w:val="24"/>
          <w:szCs w:val="24"/>
        </w:rPr>
        <w:t xml:space="preserve">epartments to extend through June 30, 2023 any pre-qualified pools established under Section 21.4 of the Administrative Code so long as </w:t>
      </w:r>
      <w:r w:rsidR="00FB56FE" w:rsidRPr="006A2367">
        <w:rPr>
          <w:rFonts w:cstheme="minorHAnsi"/>
          <w:sz w:val="24"/>
          <w:szCs w:val="24"/>
        </w:rPr>
        <w:t xml:space="preserve">the pre-qualified pool list was </w:t>
      </w:r>
      <w:r w:rsidRPr="006A2367">
        <w:rPr>
          <w:rFonts w:cstheme="minorHAnsi"/>
          <w:sz w:val="24"/>
          <w:szCs w:val="24"/>
        </w:rPr>
        <w:t>in place as of April 12, 2022 (the date of the 47</w:t>
      </w:r>
      <w:r w:rsidRPr="006A2367">
        <w:rPr>
          <w:rFonts w:cstheme="minorHAnsi"/>
          <w:sz w:val="24"/>
          <w:szCs w:val="24"/>
          <w:vertAlign w:val="superscript"/>
        </w:rPr>
        <w:t>th</w:t>
      </w:r>
      <w:r w:rsidRPr="006A2367">
        <w:rPr>
          <w:rFonts w:cstheme="minorHAnsi"/>
          <w:sz w:val="24"/>
          <w:szCs w:val="24"/>
        </w:rPr>
        <w:t xml:space="preserve"> Supplement) and will </w:t>
      </w:r>
      <w:r w:rsidR="00FB56FE" w:rsidRPr="006A2367">
        <w:rPr>
          <w:rFonts w:cstheme="minorHAnsi"/>
          <w:sz w:val="24"/>
          <w:szCs w:val="24"/>
        </w:rPr>
        <w:t xml:space="preserve">be </w:t>
      </w:r>
      <w:r w:rsidRPr="006A2367">
        <w:rPr>
          <w:rFonts w:cstheme="minorHAnsi"/>
          <w:sz w:val="24"/>
          <w:szCs w:val="24"/>
        </w:rPr>
        <w:t>expir</w:t>
      </w:r>
      <w:r w:rsidR="00FB56FE" w:rsidRPr="006A2367">
        <w:rPr>
          <w:rFonts w:cstheme="minorHAnsi"/>
          <w:sz w:val="24"/>
          <w:szCs w:val="24"/>
        </w:rPr>
        <w:t>ing</w:t>
      </w:r>
      <w:r w:rsidRPr="006A2367">
        <w:rPr>
          <w:rFonts w:cstheme="minorHAnsi"/>
          <w:sz w:val="24"/>
          <w:szCs w:val="24"/>
        </w:rPr>
        <w:t xml:space="preserve"> </w:t>
      </w:r>
      <w:r w:rsidR="00FB56FE" w:rsidRPr="006A2367">
        <w:rPr>
          <w:rFonts w:cstheme="minorHAnsi"/>
          <w:sz w:val="24"/>
          <w:szCs w:val="24"/>
        </w:rPr>
        <w:t xml:space="preserve">on or </w:t>
      </w:r>
      <w:r w:rsidRPr="006A2367">
        <w:rPr>
          <w:rFonts w:cstheme="minorHAnsi"/>
          <w:sz w:val="24"/>
          <w:szCs w:val="24"/>
        </w:rPr>
        <w:t>before August 31, 2022.</w:t>
      </w:r>
    </w:p>
    <w:p w14:paraId="0A6B5582" w14:textId="77777777" w:rsidR="00FB56FE" w:rsidRPr="006A2367" w:rsidRDefault="00FB56FE" w:rsidP="008A61DE">
      <w:pPr>
        <w:pStyle w:val="ListParagraph"/>
        <w:spacing w:before="100" w:beforeAutospacing="1" w:after="100" w:afterAutospacing="1" w:line="120" w:lineRule="exact"/>
        <w:ind w:left="1080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</w:p>
    <w:p w14:paraId="20F84E2E" w14:textId="33939D1D" w:rsidR="009D4F92" w:rsidRPr="006A2367" w:rsidRDefault="00D30368" w:rsidP="00FB56F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  <w:bookmarkStart w:id="4" w:name="IV"/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Issuing </w:t>
      </w:r>
      <w:r w:rsidR="001E0BDB" w:rsidRPr="006A2367">
        <w:rPr>
          <w:rFonts w:cstheme="minorHAnsi"/>
          <w:b/>
          <w:color w:val="833C0B" w:themeColor="accent2" w:themeShade="80"/>
          <w:sz w:val="24"/>
          <w:szCs w:val="24"/>
        </w:rPr>
        <w:t>New COVID</w:t>
      </w:r>
      <w:r w:rsidR="00D11815" w:rsidRPr="006A2367">
        <w:rPr>
          <w:rFonts w:cstheme="minorHAnsi"/>
          <w:b/>
          <w:color w:val="833C0B" w:themeColor="accent2" w:themeShade="80"/>
          <w:sz w:val="24"/>
          <w:szCs w:val="24"/>
        </w:rPr>
        <w:t>-Response</w:t>
      </w:r>
      <w:r w:rsidR="001E0BDB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Contracts and Grants</w:t>
      </w:r>
      <w:bookmarkEnd w:id="4"/>
    </w:p>
    <w:p w14:paraId="2E6E82E6" w14:textId="13866206" w:rsidR="00F404B3" w:rsidRPr="006A2367" w:rsidRDefault="002B64A9" w:rsidP="00F404B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Using the </w:t>
      </w:r>
      <w:r w:rsidR="001E0BDB" w:rsidRPr="006A2367">
        <w:rPr>
          <w:rFonts w:cstheme="minorHAnsi"/>
          <w:b/>
          <w:color w:val="833C0B" w:themeColor="accent2" w:themeShade="80"/>
          <w:sz w:val="24"/>
          <w:szCs w:val="24"/>
        </w:rPr>
        <w:t>13</w:t>
      </w:r>
      <w:r w:rsidR="001E0BDB" w:rsidRPr="006A2367">
        <w:rPr>
          <w:rFonts w:cstheme="minorHAnsi"/>
          <w:b/>
          <w:color w:val="833C0B" w:themeColor="accent2" w:themeShade="80"/>
          <w:sz w:val="24"/>
          <w:szCs w:val="24"/>
          <w:vertAlign w:val="superscript"/>
        </w:rPr>
        <w:t>th</w:t>
      </w:r>
      <w:r w:rsidR="001E0BDB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Supplement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for the 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E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mergency 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P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rocurement of 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COVID-response </w:t>
      </w:r>
      <w:r w:rsidR="00536653" w:rsidRPr="006A2367">
        <w:rPr>
          <w:rFonts w:cstheme="minorHAnsi"/>
          <w:b/>
          <w:color w:val="833C0B" w:themeColor="accent2" w:themeShade="80"/>
          <w:sz w:val="24"/>
          <w:szCs w:val="24"/>
        </w:rPr>
        <w:t>Commodities and Services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</w:t>
      </w:r>
    </w:p>
    <w:p w14:paraId="40ADCB23" w14:textId="338FFAE7" w:rsidR="001E0BDB" w:rsidRPr="006A2367" w:rsidRDefault="001E0BDB" w:rsidP="00F404B3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>The 13</w:t>
      </w:r>
      <w:r w:rsidRPr="006A2367">
        <w:rPr>
          <w:rFonts w:cstheme="minorHAnsi"/>
          <w:sz w:val="24"/>
          <w:szCs w:val="24"/>
          <w:vertAlign w:val="superscript"/>
        </w:rPr>
        <w:t>th</w:t>
      </w:r>
      <w:r w:rsidRPr="006A2367">
        <w:rPr>
          <w:rFonts w:cstheme="minorHAnsi"/>
          <w:sz w:val="24"/>
          <w:szCs w:val="24"/>
        </w:rPr>
        <w:t xml:space="preserve"> Supplement authorize</w:t>
      </w:r>
      <w:r w:rsidR="008F3B71" w:rsidRPr="006A2367">
        <w:rPr>
          <w:rFonts w:cstheme="minorHAnsi"/>
          <w:sz w:val="24"/>
          <w:szCs w:val="24"/>
        </w:rPr>
        <w:t>s</w:t>
      </w:r>
      <w:r w:rsidRPr="006A2367">
        <w:rPr>
          <w:rFonts w:cstheme="minorHAnsi"/>
          <w:sz w:val="24"/>
          <w:szCs w:val="24"/>
        </w:rPr>
        <w:t xml:space="preserve"> departments to enter into 1 year COVID-response contracts or grants for Chapter 21, </w:t>
      </w:r>
      <w:r w:rsidR="00D876BC" w:rsidRPr="006A2367">
        <w:rPr>
          <w:rFonts w:cstheme="minorHAnsi"/>
          <w:sz w:val="24"/>
          <w:szCs w:val="24"/>
        </w:rPr>
        <w:t xml:space="preserve">Chapter </w:t>
      </w:r>
      <w:r w:rsidRPr="006A2367">
        <w:rPr>
          <w:rFonts w:cstheme="minorHAnsi"/>
          <w:sz w:val="24"/>
          <w:szCs w:val="24"/>
        </w:rPr>
        <w:t>21G and</w:t>
      </w:r>
      <w:r w:rsidR="00D876BC" w:rsidRPr="006A2367">
        <w:rPr>
          <w:rFonts w:cstheme="minorHAnsi"/>
          <w:sz w:val="24"/>
          <w:szCs w:val="24"/>
        </w:rPr>
        <w:t xml:space="preserve"> Chapter</w:t>
      </w:r>
      <w:r w:rsidRPr="006A2367">
        <w:rPr>
          <w:rFonts w:cstheme="minorHAnsi"/>
          <w:sz w:val="24"/>
          <w:szCs w:val="24"/>
        </w:rPr>
        <w:t xml:space="preserve"> 6 goods and services.</w:t>
      </w:r>
      <w:r w:rsidRPr="006A2367">
        <w:rPr>
          <w:rFonts w:cstheme="minorHAnsi"/>
          <w:i/>
          <w:sz w:val="24"/>
          <w:szCs w:val="24"/>
        </w:rPr>
        <w:t xml:space="preserve"> As of the date of this memo, new</w:t>
      </w:r>
      <w:r w:rsidR="00F91C13" w:rsidRPr="006A2367">
        <w:rPr>
          <w:rFonts w:cstheme="minorHAnsi"/>
          <w:i/>
          <w:sz w:val="24"/>
          <w:szCs w:val="24"/>
        </w:rPr>
        <w:t xml:space="preserve"> </w:t>
      </w:r>
      <w:r w:rsidRPr="006A2367">
        <w:rPr>
          <w:rFonts w:cstheme="minorHAnsi"/>
          <w:i/>
          <w:sz w:val="24"/>
          <w:szCs w:val="24"/>
        </w:rPr>
        <w:t xml:space="preserve">contracts </w:t>
      </w:r>
      <w:r w:rsidR="00F91C13" w:rsidRPr="006A2367">
        <w:rPr>
          <w:rFonts w:cstheme="minorHAnsi"/>
          <w:i/>
          <w:sz w:val="24"/>
          <w:szCs w:val="24"/>
        </w:rPr>
        <w:t xml:space="preserve">executed </w:t>
      </w:r>
      <w:r w:rsidRPr="006A2367">
        <w:rPr>
          <w:rFonts w:cstheme="minorHAnsi"/>
          <w:i/>
          <w:sz w:val="24"/>
          <w:szCs w:val="24"/>
        </w:rPr>
        <w:t>pursuant to the 13</w:t>
      </w:r>
      <w:r w:rsidRPr="006A2367">
        <w:rPr>
          <w:rFonts w:cstheme="minorHAnsi"/>
          <w:i/>
          <w:sz w:val="24"/>
          <w:szCs w:val="24"/>
          <w:vertAlign w:val="superscript"/>
        </w:rPr>
        <w:t>th</w:t>
      </w:r>
      <w:r w:rsidRPr="006A2367">
        <w:rPr>
          <w:rFonts w:cstheme="minorHAnsi"/>
          <w:i/>
          <w:sz w:val="24"/>
          <w:szCs w:val="24"/>
        </w:rPr>
        <w:t xml:space="preserve"> Supplement must be limited to one year and CANNOT be extended for any additional time unless a future Ordinance authorizes their extension. </w:t>
      </w:r>
      <w:r w:rsidRPr="006A2367">
        <w:rPr>
          <w:rFonts w:cstheme="minorHAnsi"/>
          <w:sz w:val="24"/>
          <w:szCs w:val="24"/>
        </w:rPr>
        <w:t>To utilize the 13</w:t>
      </w:r>
      <w:r w:rsidRPr="006A2367">
        <w:rPr>
          <w:rFonts w:cstheme="minorHAnsi"/>
          <w:sz w:val="24"/>
          <w:szCs w:val="24"/>
          <w:vertAlign w:val="superscript"/>
        </w:rPr>
        <w:t>th</w:t>
      </w:r>
      <w:r w:rsidRPr="006A2367">
        <w:rPr>
          <w:rFonts w:cstheme="minorHAnsi"/>
          <w:sz w:val="24"/>
          <w:szCs w:val="24"/>
        </w:rPr>
        <w:t xml:space="preserve"> Supplement for this purpose, please refer to the</w:t>
      </w:r>
      <w:r w:rsidRPr="006A2367">
        <w:rPr>
          <w:rFonts w:eastAsia="Times New Roman" w:cstheme="minorHAnsi"/>
          <w:color w:val="333333"/>
          <w:sz w:val="24"/>
          <w:szCs w:val="24"/>
        </w:rPr>
        <w:t> </w:t>
      </w:r>
      <w:r w:rsidR="004B2F84" w:rsidRPr="006A2367">
        <w:rPr>
          <w:rFonts w:eastAsia="Times New Roman" w:cstheme="minorHAnsi"/>
          <w:color w:val="2F7FB4"/>
          <w:sz w:val="24"/>
          <w:szCs w:val="24"/>
          <w:u w:val="single"/>
        </w:rPr>
        <w:t>CL-COVID-A Checklist (4-22)</w:t>
      </w:r>
      <w:r w:rsidRPr="006A2367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6A2367">
        <w:rPr>
          <w:rFonts w:eastAsia="Times New Roman" w:cstheme="minorHAnsi"/>
          <w:sz w:val="24"/>
          <w:szCs w:val="24"/>
        </w:rPr>
        <w:t xml:space="preserve">which </w:t>
      </w:r>
      <w:r w:rsidR="004B2F84">
        <w:rPr>
          <w:rFonts w:eastAsia="Times New Roman" w:cstheme="minorHAnsi"/>
          <w:sz w:val="24"/>
          <w:szCs w:val="24"/>
        </w:rPr>
        <w:t xml:space="preserve">can be found </w:t>
      </w:r>
      <w:hyperlink r:id="rId13" w:history="1">
        <w:r w:rsidR="004B2F84" w:rsidRPr="004B2F84">
          <w:rPr>
            <w:rStyle w:val="Hyperlink"/>
            <w:rFonts w:eastAsia="Times New Roman" w:cstheme="minorHAnsi"/>
            <w:sz w:val="24"/>
            <w:szCs w:val="24"/>
          </w:rPr>
          <w:t>here</w:t>
        </w:r>
      </w:hyperlink>
      <w:r w:rsidRPr="006A2367">
        <w:rPr>
          <w:rFonts w:eastAsia="Times New Roman" w:cstheme="minorHAnsi"/>
          <w:sz w:val="24"/>
          <w:szCs w:val="24"/>
        </w:rPr>
        <w:t xml:space="preserve">. </w:t>
      </w:r>
    </w:p>
    <w:p w14:paraId="6656D814" w14:textId="77777777" w:rsidR="00001CEF" w:rsidRPr="006A2367" w:rsidRDefault="00001CEF" w:rsidP="00A54F36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522274ED" w14:textId="5B79B613" w:rsidR="00536653" w:rsidRPr="006A2367" w:rsidRDefault="002B64A9" w:rsidP="0053665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Using </w:t>
      </w:r>
      <w:r w:rsidR="001E0BDB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SF Admin Code </w:t>
      </w:r>
      <w:r w:rsidR="008F140B" w:rsidRPr="006A2367">
        <w:rPr>
          <w:rFonts w:cstheme="minorHAnsi"/>
          <w:b/>
          <w:color w:val="833C0B" w:themeColor="accent2" w:themeShade="80"/>
          <w:sz w:val="24"/>
          <w:szCs w:val="24"/>
        </w:rPr>
        <w:t>Section</w:t>
      </w:r>
      <w:r w:rsidR="001E0BDB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21.15</w:t>
      </w:r>
      <w:r w:rsidR="004C7AC6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for the 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E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mergency 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P</w:t>
      </w:r>
      <w:r w:rsidR="00F404B3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rocurement of </w:t>
      </w:r>
      <w:r w:rsidR="00536653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Commodities and Services 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(Not applicable to Grants</w:t>
      </w:r>
      <w:r w:rsidR="003D4DF9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 or Chapter 6 Construction Contracts</w:t>
      </w: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)</w:t>
      </w:r>
    </w:p>
    <w:p w14:paraId="52B67FCA" w14:textId="7D2D6902" w:rsidR="009D4F92" w:rsidRPr="006A2367" w:rsidRDefault="009D4F92" w:rsidP="00536653">
      <w:pPr>
        <w:pStyle w:val="ListParagraph"/>
        <w:spacing w:before="100" w:beforeAutospacing="1" w:after="100" w:afterAutospacing="1" w:line="120" w:lineRule="exact"/>
        <w:ind w:left="1080"/>
        <w:jc w:val="both"/>
        <w:rPr>
          <w:rFonts w:cstheme="minorHAnsi"/>
          <w:b/>
          <w:sz w:val="24"/>
          <w:szCs w:val="24"/>
        </w:rPr>
      </w:pPr>
    </w:p>
    <w:p w14:paraId="3A4DE02F" w14:textId="3FD8D71D" w:rsidR="009D4F92" w:rsidRPr="006A2367" w:rsidRDefault="00001CEF" w:rsidP="00D8232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>21.15 Summary</w:t>
      </w:r>
    </w:p>
    <w:p w14:paraId="6A068699" w14:textId="45447CA4" w:rsidR="00F91C13" w:rsidRPr="006A2367" w:rsidRDefault="00F91C13" w:rsidP="00A54F36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 xml:space="preserve">Pursuant to 21.15(a), an emergency exists when: (1) One or more of the following extraordinary conditions exist: war, epidemic, weather, fire, flood, earthquake, other catastrophe or the breakdown of any plant equipment, structure, street or public work; </w:t>
      </w:r>
      <w:r w:rsidRPr="006A2367">
        <w:rPr>
          <w:rFonts w:cstheme="minorHAnsi"/>
          <w:b/>
          <w:sz w:val="24"/>
          <w:szCs w:val="24"/>
          <w:u w:val="single"/>
        </w:rPr>
        <w:t>and</w:t>
      </w:r>
      <w:r w:rsidRPr="006A2367">
        <w:rPr>
          <w:rFonts w:cstheme="minorHAnsi"/>
          <w:b/>
          <w:sz w:val="24"/>
          <w:szCs w:val="24"/>
        </w:rPr>
        <w:t xml:space="preserve"> </w:t>
      </w:r>
      <w:r w:rsidRPr="006A2367">
        <w:rPr>
          <w:rFonts w:cstheme="minorHAnsi"/>
          <w:sz w:val="24"/>
          <w:szCs w:val="24"/>
        </w:rPr>
        <w:t>(2) There is a need to immediately procure Commodities or Services to:</w:t>
      </w:r>
    </w:p>
    <w:p w14:paraId="6F6E7BAA" w14:textId="77777777" w:rsidR="008A61DE" w:rsidRPr="006A2367" w:rsidRDefault="008A61DE" w:rsidP="009B2699">
      <w:pPr>
        <w:pStyle w:val="ListParagraph"/>
        <w:spacing w:before="100" w:beforeAutospacing="1" w:after="100" w:afterAutospacing="1" w:line="120" w:lineRule="exact"/>
        <w:ind w:left="1080"/>
        <w:jc w:val="both"/>
        <w:rPr>
          <w:rFonts w:cstheme="minorHAnsi"/>
          <w:b/>
          <w:sz w:val="24"/>
          <w:szCs w:val="24"/>
        </w:rPr>
      </w:pPr>
    </w:p>
    <w:p w14:paraId="176692CC" w14:textId="77777777" w:rsidR="00F91C13" w:rsidRPr="006A2367" w:rsidRDefault="00F91C13" w:rsidP="00A54F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 xml:space="preserve">Make repairs, </w:t>
      </w:r>
    </w:p>
    <w:p w14:paraId="551A4F36" w14:textId="77777777" w:rsidR="00F91C13" w:rsidRPr="006A2367" w:rsidRDefault="00F91C13" w:rsidP="00A54F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 xml:space="preserve">Safeguard the life or property or </w:t>
      </w:r>
    </w:p>
    <w:p w14:paraId="6D5D9FCF" w14:textId="77777777" w:rsidR="00F91C13" w:rsidRPr="006A2367" w:rsidRDefault="00F91C13" w:rsidP="00A54F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6A2367">
        <w:rPr>
          <w:rFonts w:cstheme="minorHAnsi"/>
          <w:sz w:val="24"/>
          <w:szCs w:val="24"/>
        </w:rPr>
        <w:t>Maintain public health or welfare.</w:t>
      </w:r>
    </w:p>
    <w:p w14:paraId="3BC8B632" w14:textId="1AA34A6A" w:rsidR="004C7AC6" w:rsidRPr="006A2367" w:rsidRDefault="00F91C13" w:rsidP="008A61DE">
      <w:pPr>
        <w:pStyle w:val="Compact"/>
        <w:spacing w:before="0" w:after="100" w:afterAutospacing="1"/>
        <w:ind w:left="1080"/>
        <w:jc w:val="both"/>
        <w:rPr>
          <w:rFonts w:cstheme="minorHAnsi"/>
          <w:i/>
        </w:rPr>
      </w:pPr>
      <w:r w:rsidRPr="006A2367">
        <w:rPr>
          <w:rFonts w:cstheme="minorHAnsi"/>
        </w:rPr>
        <w:t>When the above conditions are met, department</w:t>
      </w:r>
      <w:r w:rsidR="00722759">
        <w:rPr>
          <w:rFonts w:cstheme="minorHAnsi"/>
        </w:rPr>
        <w:t>s</w:t>
      </w:r>
      <w:r w:rsidRPr="006A2367">
        <w:rPr>
          <w:rFonts w:cstheme="minorHAnsi"/>
        </w:rPr>
        <w:t xml:space="preserve"> can purchase the Commodities or Services in the most expeditious manner. (See 21.15(c)). </w:t>
      </w:r>
      <w:r w:rsidR="00CF5B13" w:rsidRPr="006A2367">
        <w:rPr>
          <w:rFonts w:cstheme="minorHAnsi"/>
          <w:i/>
        </w:rPr>
        <w:t>Unlike emergency contracts issued pursuant to the 13</w:t>
      </w:r>
      <w:r w:rsidR="00CF5B13" w:rsidRPr="006A2367">
        <w:rPr>
          <w:rFonts w:cstheme="minorHAnsi"/>
          <w:i/>
          <w:vertAlign w:val="superscript"/>
        </w:rPr>
        <w:t>th</w:t>
      </w:r>
      <w:r w:rsidR="00CF5B13" w:rsidRPr="006A2367">
        <w:rPr>
          <w:rFonts w:cstheme="minorHAnsi"/>
          <w:i/>
        </w:rPr>
        <w:t xml:space="preserve"> Supplement above, emergency contracts (including COVID-response contracts) </w:t>
      </w:r>
      <w:r w:rsidR="009D4F92" w:rsidRPr="006A2367">
        <w:rPr>
          <w:rFonts w:cstheme="minorHAnsi"/>
          <w:i/>
        </w:rPr>
        <w:t>executed pursuant to 21.15</w:t>
      </w:r>
      <w:r w:rsidR="00CF5B13" w:rsidRPr="006A2367">
        <w:rPr>
          <w:rFonts w:cstheme="minorHAnsi"/>
          <w:i/>
        </w:rPr>
        <w:t xml:space="preserve"> </w:t>
      </w:r>
      <w:r w:rsidR="00001CEF" w:rsidRPr="006A2367">
        <w:rPr>
          <w:rFonts w:cstheme="minorHAnsi"/>
          <w:i/>
        </w:rPr>
        <w:t xml:space="preserve">need not be limited to a duration of one year </w:t>
      </w:r>
      <w:r w:rsidR="00CF5B13" w:rsidRPr="006A2367">
        <w:rPr>
          <w:rFonts w:cstheme="minorHAnsi"/>
          <w:i/>
        </w:rPr>
        <w:t>so long as they comply with the requirements set forth below</w:t>
      </w:r>
      <w:r w:rsidR="00001CEF" w:rsidRPr="006A2367">
        <w:rPr>
          <w:rFonts w:cstheme="minorHAnsi"/>
          <w:i/>
        </w:rPr>
        <w:t>.</w:t>
      </w:r>
    </w:p>
    <w:p w14:paraId="6952D48B" w14:textId="09D6E1C9" w:rsidR="009D4F92" w:rsidRPr="006A2367" w:rsidRDefault="00001CEF" w:rsidP="00D8232B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cstheme="minorHAnsi"/>
          <w:b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 xml:space="preserve">21.15 </w:t>
      </w:r>
      <w:r w:rsidR="004C7AC6" w:rsidRPr="006A2367">
        <w:rPr>
          <w:rFonts w:cstheme="minorHAnsi"/>
          <w:b/>
          <w:sz w:val="24"/>
          <w:szCs w:val="24"/>
        </w:rPr>
        <w:t>Solicitation</w:t>
      </w:r>
      <w:r w:rsidRPr="006A2367">
        <w:rPr>
          <w:rFonts w:cstheme="minorHAnsi"/>
          <w:b/>
          <w:sz w:val="24"/>
          <w:szCs w:val="24"/>
        </w:rPr>
        <w:t xml:space="preserve"> Requirement</w:t>
      </w:r>
      <w:r w:rsidR="004C7AC6" w:rsidRPr="006A2367">
        <w:rPr>
          <w:rFonts w:cstheme="minorHAnsi"/>
          <w:b/>
          <w:sz w:val="24"/>
          <w:szCs w:val="24"/>
        </w:rPr>
        <w:t>s</w:t>
      </w:r>
    </w:p>
    <w:p w14:paraId="1E026885" w14:textId="5D279A62" w:rsidR="00001CEF" w:rsidRPr="006A2367" w:rsidRDefault="004C7AC6" w:rsidP="006A2367">
      <w:pPr>
        <w:pStyle w:val="Compact"/>
        <w:spacing w:before="0" w:after="0"/>
        <w:ind w:left="1080"/>
        <w:jc w:val="both"/>
        <w:rPr>
          <w:rFonts w:cstheme="minorHAnsi"/>
          <w:b/>
        </w:rPr>
      </w:pPr>
      <w:r w:rsidRPr="006A2367">
        <w:rPr>
          <w:rFonts w:cstheme="minorHAnsi"/>
        </w:rPr>
        <w:t xml:space="preserve">Whenever possible, the departments </w:t>
      </w:r>
      <w:r w:rsidRPr="006A2367">
        <w:rPr>
          <w:rFonts w:cstheme="minorHAnsi"/>
          <w:i/>
        </w:rPr>
        <w:t xml:space="preserve">shall attempt to obtain at least three </w:t>
      </w:r>
      <w:r w:rsidR="00CF5B13" w:rsidRPr="006A2367">
        <w:rPr>
          <w:rFonts w:cstheme="minorHAnsi"/>
          <w:i/>
        </w:rPr>
        <w:t>quotes</w:t>
      </w:r>
      <w:r w:rsidR="00CF5B13" w:rsidRPr="006A2367">
        <w:rPr>
          <w:rFonts w:cstheme="minorHAnsi"/>
        </w:rPr>
        <w:t xml:space="preserve"> </w:t>
      </w:r>
      <w:r w:rsidRPr="006A2367">
        <w:rPr>
          <w:rFonts w:cstheme="minorHAnsi"/>
        </w:rPr>
        <w:t>(See 21.15(d)), particularly where FEMA reimbursement is sought.</w:t>
      </w:r>
    </w:p>
    <w:p w14:paraId="5683EBB2" w14:textId="3294007E" w:rsidR="009D4F92" w:rsidRPr="006A2367" w:rsidRDefault="00001CEF" w:rsidP="00D8232B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cstheme="minorHAnsi"/>
          <w:b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lastRenderedPageBreak/>
        <w:t xml:space="preserve">21.15 </w:t>
      </w:r>
      <w:r w:rsidR="004C7AC6" w:rsidRPr="006A2367">
        <w:rPr>
          <w:rFonts w:cstheme="minorHAnsi"/>
          <w:b/>
          <w:sz w:val="24"/>
          <w:szCs w:val="24"/>
        </w:rPr>
        <w:t xml:space="preserve">Approvals and Waivers </w:t>
      </w:r>
    </w:p>
    <w:p w14:paraId="5D706D50" w14:textId="18ACA7A6" w:rsidR="004C7AC6" w:rsidRPr="006A2367" w:rsidRDefault="004C7AC6" w:rsidP="009D4F92">
      <w:pPr>
        <w:pStyle w:val="Compact"/>
        <w:spacing w:before="0" w:after="120"/>
        <w:ind w:left="1080"/>
        <w:jc w:val="both"/>
        <w:rPr>
          <w:rFonts w:cstheme="minorHAnsi"/>
          <w:b/>
        </w:rPr>
      </w:pPr>
      <w:r w:rsidRPr="006A2367">
        <w:rPr>
          <w:rFonts w:cstheme="minorHAnsi"/>
        </w:rPr>
        <w:t>Departments must obtain standard approvals and waivers</w:t>
      </w:r>
      <w:r w:rsidR="00F404B3" w:rsidRPr="006A2367">
        <w:rPr>
          <w:rFonts w:cstheme="minorHAnsi"/>
        </w:rPr>
        <w:t xml:space="preserve"> prior to contract execution</w:t>
      </w:r>
      <w:r w:rsidR="002B64A9" w:rsidRPr="006A2367">
        <w:rPr>
          <w:rFonts w:cstheme="minorHAnsi"/>
        </w:rPr>
        <w:t xml:space="preserve">. </w:t>
      </w:r>
      <w:r w:rsidR="002B64A9" w:rsidRPr="006A2367">
        <w:rPr>
          <w:rFonts w:cstheme="minorHAnsi"/>
          <w:u w:val="single"/>
        </w:rPr>
        <w:t>I</w:t>
      </w:r>
      <w:r w:rsidRPr="006A2367">
        <w:rPr>
          <w:rFonts w:cstheme="minorHAnsi"/>
          <w:u w:val="single"/>
        </w:rPr>
        <w:t xml:space="preserve">f the emergency does not permit, the below approvals may obtained as soon </w:t>
      </w:r>
      <w:r w:rsidR="002B64A9" w:rsidRPr="006A2367">
        <w:rPr>
          <w:rFonts w:cstheme="minorHAnsi"/>
          <w:u w:val="single"/>
        </w:rPr>
        <w:t xml:space="preserve">after contract execution </w:t>
      </w:r>
      <w:r w:rsidRPr="006A2367">
        <w:rPr>
          <w:rFonts w:cstheme="minorHAnsi"/>
          <w:u w:val="single"/>
        </w:rPr>
        <w:t>as possible</w:t>
      </w:r>
      <w:r w:rsidRPr="006A2367">
        <w:rPr>
          <w:rFonts w:cstheme="minorHAnsi"/>
        </w:rPr>
        <w:t>. (See 21.15(c)).</w:t>
      </w:r>
      <w:r w:rsidR="002B64A9" w:rsidRPr="006A2367">
        <w:rPr>
          <w:rFonts w:cstheme="minorHAnsi"/>
        </w:rPr>
        <w:t xml:space="preserve"> Departments should use </w:t>
      </w:r>
      <w:hyperlink r:id="rId14" w:history="1">
        <w:r w:rsidR="002B64A9" w:rsidRPr="006A2367">
          <w:rPr>
            <w:rStyle w:val="Hyperlink"/>
            <w:rFonts w:cstheme="minorHAnsi"/>
          </w:rPr>
          <w:t>OCA’s standard checklists</w:t>
        </w:r>
      </w:hyperlink>
      <w:r w:rsidR="002B64A9" w:rsidRPr="006A2367">
        <w:rPr>
          <w:rFonts w:cstheme="minorHAnsi"/>
        </w:rPr>
        <w:t xml:space="preserve"> when submitting the contract to OCA for execution.</w:t>
      </w:r>
    </w:p>
    <w:p w14:paraId="3D1E7C57" w14:textId="77777777" w:rsidR="004C7AC6" w:rsidRPr="006A2367" w:rsidRDefault="004C7AC6" w:rsidP="006A2367">
      <w:pPr>
        <w:pStyle w:val="Compact"/>
        <w:numPr>
          <w:ilvl w:val="0"/>
          <w:numId w:val="5"/>
        </w:numPr>
        <w:spacing w:before="0" w:after="80"/>
        <w:ind w:left="1440"/>
        <w:jc w:val="both"/>
        <w:rPr>
          <w:rFonts w:cstheme="minorHAnsi"/>
        </w:rPr>
      </w:pPr>
      <w:r w:rsidRPr="006A2367">
        <w:rPr>
          <w:rFonts w:cstheme="minorHAnsi"/>
          <w:b/>
          <w:i/>
        </w:rPr>
        <w:t>Department Commission</w:t>
      </w:r>
      <w:r w:rsidRPr="006A2367">
        <w:rPr>
          <w:rFonts w:cstheme="minorHAnsi"/>
          <w:b/>
        </w:rPr>
        <w:t xml:space="preserve">: </w:t>
      </w:r>
      <w:r w:rsidR="00F91C13" w:rsidRPr="006A2367">
        <w:rPr>
          <w:rFonts w:cstheme="minorHAnsi"/>
        </w:rPr>
        <w:t>If the emergency permits, the department head shall first secure the written approval of the departme</w:t>
      </w:r>
      <w:r w:rsidRPr="006A2367">
        <w:rPr>
          <w:rFonts w:cstheme="minorHAnsi"/>
        </w:rPr>
        <w:t>nt’</w:t>
      </w:r>
      <w:r w:rsidR="00F91C13" w:rsidRPr="006A2367">
        <w:rPr>
          <w:rFonts w:cstheme="minorHAnsi"/>
        </w:rPr>
        <w:t>s commission</w:t>
      </w:r>
      <w:r w:rsidRPr="006A2367">
        <w:rPr>
          <w:rFonts w:cstheme="minorHAnsi"/>
        </w:rPr>
        <w:t xml:space="preserve">. (See 21.15(c)). </w:t>
      </w:r>
    </w:p>
    <w:p w14:paraId="5594ED1F" w14:textId="42CFBE36" w:rsidR="004C7AC6" w:rsidRPr="006A2367" w:rsidRDefault="004C7AC6" w:rsidP="006A2367">
      <w:pPr>
        <w:pStyle w:val="Compact"/>
        <w:numPr>
          <w:ilvl w:val="0"/>
          <w:numId w:val="5"/>
        </w:numPr>
        <w:spacing w:before="0" w:after="80"/>
        <w:ind w:left="1440"/>
        <w:jc w:val="both"/>
        <w:rPr>
          <w:rFonts w:cstheme="minorHAnsi"/>
        </w:rPr>
      </w:pPr>
      <w:r w:rsidRPr="006A2367">
        <w:rPr>
          <w:rFonts w:cstheme="minorHAnsi"/>
          <w:b/>
          <w:i/>
        </w:rPr>
        <w:t>Board of Supervisors:</w:t>
      </w:r>
      <w:r w:rsidRPr="006A2367">
        <w:rPr>
          <w:rFonts w:cstheme="minorHAnsi"/>
        </w:rPr>
        <w:t xml:space="preserve"> I</w:t>
      </w:r>
      <w:r w:rsidR="00F91C13" w:rsidRPr="006A2367">
        <w:rPr>
          <w:rFonts w:cstheme="minorHAnsi"/>
        </w:rPr>
        <w:t>n all cases</w:t>
      </w:r>
      <w:r w:rsidRPr="006A2367">
        <w:rPr>
          <w:rFonts w:cstheme="minorHAnsi"/>
        </w:rPr>
        <w:t>,</w:t>
      </w:r>
      <w:r w:rsidR="00F91C13" w:rsidRPr="006A2367">
        <w:rPr>
          <w:rFonts w:cstheme="minorHAnsi"/>
        </w:rPr>
        <w:t xml:space="preserve"> the approval of the Board of Supervisors must be obtained for any contract in excess of $100,000. </w:t>
      </w:r>
      <w:r w:rsidRPr="006A2367">
        <w:rPr>
          <w:rFonts w:cstheme="minorHAnsi"/>
        </w:rPr>
        <w:t>(See 21.15(c)).</w:t>
      </w:r>
    </w:p>
    <w:p w14:paraId="145FA320" w14:textId="78D4440A" w:rsidR="00BD01CA" w:rsidRPr="006A2367" w:rsidRDefault="00BD01CA" w:rsidP="006A2367">
      <w:pPr>
        <w:pStyle w:val="Compact"/>
        <w:numPr>
          <w:ilvl w:val="0"/>
          <w:numId w:val="5"/>
        </w:numPr>
        <w:spacing w:before="0" w:after="80"/>
        <w:ind w:left="1440"/>
        <w:jc w:val="both"/>
        <w:rPr>
          <w:rFonts w:cstheme="minorHAnsi"/>
          <w:i/>
        </w:rPr>
      </w:pPr>
      <w:r w:rsidRPr="006A2367">
        <w:rPr>
          <w:rFonts w:cstheme="minorHAnsi"/>
          <w:b/>
          <w:i/>
        </w:rPr>
        <w:t xml:space="preserve">Non Applicability of Certain </w:t>
      </w:r>
      <w:r w:rsidR="00053245" w:rsidRPr="006A2367">
        <w:rPr>
          <w:rFonts w:cstheme="minorHAnsi"/>
          <w:b/>
          <w:i/>
        </w:rPr>
        <w:t>Contracting Provisions</w:t>
      </w:r>
      <w:r w:rsidRPr="006A2367">
        <w:rPr>
          <w:rFonts w:cstheme="minorHAnsi"/>
          <w:b/>
          <w:i/>
        </w:rPr>
        <w:t>:</w:t>
      </w:r>
      <w:r w:rsidRPr="006A2367">
        <w:rPr>
          <w:rFonts w:cstheme="minorHAnsi"/>
          <w:i/>
        </w:rPr>
        <w:t xml:space="preserve"> </w:t>
      </w:r>
    </w:p>
    <w:p w14:paraId="3401C670" w14:textId="77777777" w:rsidR="00BD01CA" w:rsidRPr="006A2367" w:rsidRDefault="00BD01CA" w:rsidP="006A2367">
      <w:pPr>
        <w:pStyle w:val="ListParagraph"/>
        <w:numPr>
          <w:ilvl w:val="1"/>
          <w:numId w:val="5"/>
        </w:numPr>
        <w:spacing w:after="80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 xml:space="preserve">Federal Funds: </w:t>
      </w:r>
      <w:r w:rsidRPr="006A2367">
        <w:rPr>
          <w:rFonts w:cstheme="minorHAnsi"/>
          <w:sz w:val="24"/>
          <w:szCs w:val="24"/>
        </w:rPr>
        <w:t>Where federal funding is involved, local preferences pertaining to the 12X, 14B and First Sourcing/Local Hiring program are automatically deemed not applicable and waivers are not required.</w:t>
      </w:r>
    </w:p>
    <w:p w14:paraId="66A100A2" w14:textId="77777777" w:rsidR="006A2367" w:rsidRPr="006A2367" w:rsidRDefault="006A2367" w:rsidP="006A2367">
      <w:pPr>
        <w:pStyle w:val="ListParagraph"/>
        <w:spacing w:after="80" w:line="120" w:lineRule="exact"/>
        <w:ind w:left="1800"/>
        <w:jc w:val="both"/>
        <w:rPr>
          <w:rFonts w:cstheme="minorHAnsi"/>
          <w:sz w:val="24"/>
          <w:szCs w:val="24"/>
        </w:rPr>
      </w:pPr>
    </w:p>
    <w:p w14:paraId="432678ED" w14:textId="794BA90B" w:rsidR="00BD01CA" w:rsidRPr="006A2367" w:rsidRDefault="00BD01CA" w:rsidP="006A2367">
      <w:pPr>
        <w:pStyle w:val="ListParagraph"/>
        <w:numPr>
          <w:ilvl w:val="1"/>
          <w:numId w:val="5"/>
        </w:numPr>
        <w:spacing w:after="80" w:line="240" w:lineRule="auto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b/>
          <w:sz w:val="24"/>
          <w:szCs w:val="24"/>
        </w:rPr>
        <w:t>Chapter 14B: “</w:t>
      </w:r>
      <w:r w:rsidRPr="006A2367">
        <w:rPr>
          <w:rFonts w:cstheme="minorHAnsi"/>
          <w:sz w:val="24"/>
          <w:szCs w:val="24"/>
        </w:rPr>
        <w:t xml:space="preserve">Emergency Contracts” are definitionally exempt from Chapter 14B and, as such, waivers are not required with respect to removing LBE bid discounts/rating bonuses and/or subcontracting goals. </w:t>
      </w:r>
    </w:p>
    <w:p w14:paraId="24194D37" w14:textId="77777777" w:rsidR="008F140B" w:rsidRPr="006A2367" w:rsidRDefault="008F140B" w:rsidP="008F140B">
      <w:pPr>
        <w:pStyle w:val="ListParagraph"/>
        <w:spacing w:before="120" w:after="100" w:afterAutospacing="1" w:line="240" w:lineRule="auto"/>
        <w:ind w:left="1080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</w:p>
    <w:p w14:paraId="51E1257F" w14:textId="77777777" w:rsidR="008F140B" w:rsidRPr="006A2367" w:rsidRDefault="008F140B" w:rsidP="008F140B">
      <w:pPr>
        <w:pStyle w:val="ListParagraph"/>
        <w:numPr>
          <w:ilvl w:val="0"/>
          <w:numId w:val="12"/>
        </w:numPr>
        <w:spacing w:before="120" w:after="100" w:afterAutospacing="1" w:line="240" w:lineRule="auto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>Using SF Admin Code Section 6.60 for Emergency Chapter 6 Agreements (Not Applicable to Chapters 21 or 21G Agreements)</w:t>
      </w:r>
    </w:p>
    <w:p w14:paraId="59A2C683" w14:textId="6BD84EC9" w:rsidR="008F140B" w:rsidRPr="006A2367" w:rsidRDefault="006A2367" w:rsidP="006A2367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 xml:space="preserve">Section 6.60 of the Administrative Code provides the basis and requirements for entering into emergency public works contracts. Departments should refer to </w:t>
      </w:r>
      <w:r w:rsidR="006C229E">
        <w:rPr>
          <w:rFonts w:cstheme="minorHAnsi"/>
          <w:sz w:val="24"/>
          <w:szCs w:val="24"/>
        </w:rPr>
        <w:t>Chapter 6, Section 6.60</w:t>
      </w:r>
      <w:r w:rsidR="006C229E" w:rsidRPr="006A2367">
        <w:rPr>
          <w:rFonts w:cstheme="minorHAnsi"/>
          <w:sz w:val="24"/>
          <w:szCs w:val="24"/>
        </w:rPr>
        <w:t xml:space="preserve"> </w:t>
      </w:r>
      <w:r w:rsidRPr="006A2367">
        <w:rPr>
          <w:rFonts w:cstheme="minorHAnsi"/>
          <w:sz w:val="24"/>
          <w:szCs w:val="24"/>
        </w:rPr>
        <w:t xml:space="preserve">and consult with their City </w:t>
      </w:r>
      <w:r w:rsidR="00722759">
        <w:rPr>
          <w:rFonts w:cstheme="minorHAnsi"/>
          <w:sz w:val="24"/>
          <w:szCs w:val="24"/>
        </w:rPr>
        <w:t>A</w:t>
      </w:r>
      <w:r w:rsidR="00722759" w:rsidRPr="006A2367">
        <w:rPr>
          <w:rFonts w:cstheme="minorHAnsi"/>
          <w:sz w:val="24"/>
          <w:szCs w:val="24"/>
        </w:rPr>
        <w:t xml:space="preserve">ttorney </w:t>
      </w:r>
      <w:r w:rsidRPr="006A2367">
        <w:rPr>
          <w:rFonts w:cstheme="minorHAnsi"/>
          <w:sz w:val="24"/>
          <w:szCs w:val="24"/>
        </w:rPr>
        <w:t>for further guidance.</w:t>
      </w:r>
    </w:p>
    <w:p w14:paraId="72A5E47C" w14:textId="77777777" w:rsidR="00AF55E9" w:rsidRPr="006A2367" w:rsidRDefault="00AF55E9" w:rsidP="00AF55E9">
      <w:pPr>
        <w:pStyle w:val="ListParagraph"/>
        <w:spacing w:before="120" w:after="100" w:afterAutospacing="1" w:line="240" w:lineRule="auto"/>
        <w:ind w:left="1080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</w:p>
    <w:p w14:paraId="0A017FFC" w14:textId="00059EB3" w:rsidR="00536653" w:rsidRPr="006A2367" w:rsidRDefault="003D4DF9" w:rsidP="008F140B">
      <w:pPr>
        <w:pStyle w:val="ListParagraph"/>
        <w:numPr>
          <w:ilvl w:val="0"/>
          <w:numId w:val="12"/>
        </w:numPr>
        <w:spacing w:before="120" w:after="100" w:afterAutospacing="1" w:line="240" w:lineRule="auto"/>
        <w:jc w:val="both"/>
        <w:rPr>
          <w:rFonts w:cstheme="minorHAnsi"/>
          <w:b/>
          <w:color w:val="833C0B" w:themeColor="accent2" w:themeShade="80"/>
          <w:sz w:val="24"/>
          <w:szCs w:val="24"/>
        </w:rPr>
      </w:pPr>
      <w:r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Using </w:t>
      </w:r>
      <w:r w:rsidR="001E0BDB" w:rsidRPr="006A2367">
        <w:rPr>
          <w:rFonts w:cstheme="minorHAnsi"/>
          <w:b/>
          <w:color w:val="833C0B" w:themeColor="accent2" w:themeShade="80"/>
          <w:sz w:val="24"/>
          <w:szCs w:val="24"/>
        </w:rPr>
        <w:t xml:space="preserve">SF </w:t>
      </w:r>
      <w:r w:rsidR="00536653" w:rsidRPr="006A2367">
        <w:rPr>
          <w:rFonts w:cstheme="minorHAnsi"/>
          <w:b/>
          <w:color w:val="833C0B" w:themeColor="accent2" w:themeShade="80"/>
          <w:sz w:val="24"/>
          <w:szCs w:val="24"/>
        </w:rPr>
        <w:t>Admin Code Chapter 21G for Emergency Grant Agreements</w:t>
      </w:r>
    </w:p>
    <w:p w14:paraId="4AA77D96" w14:textId="76979C91" w:rsidR="00536653" w:rsidRPr="006A2367" w:rsidRDefault="00536653" w:rsidP="00536653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6A2367">
        <w:rPr>
          <w:rFonts w:cstheme="minorHAnsi"/>
          <w:sz w:val="24"/>
          <w:szCs w:val="24"/>
        </w:rPr>
        <w:t xml:space="preserve">Administrative Code Section 21G.9 allows for grants to be awarded without a competitive solicitation when: </w:t>
      </w:r>
    </w:p>
    <w:p w14:paraId="1689C68D" w14:textId="77777777" w:rsidR="00536653" w:rsidRPr="006A2367" w:rsidRDefault="00536653" w:rsidP="00536653">
      <w:pPr>
        <w:pStyle w:val="ListParagraph"/>
        <w:numPr>
          <w:ilvl w:val="0"/>
          <w:numId w:val="15"/>
        </w:num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6A2367">
        <w:rPr>
          <w:rFonts w:cstheme="minorHAnsi"/>
          <w:sz w:val="24"/>
          <w:szCs w:val="24"/>
        </w:rPr>
        <w:t>A competitive process is infeasible or impracticable</w:t>
      </w:r>
      <w:r w:rsidRPr="006A2367">
        <w:rPr>
          <w:rFonts w:cstheme="minorHAnsi"/>
          <w:sz w:val="24"/>
          <w:szCs w:val="24"/>
        </w:rPr>
        <w:tab/>
      </w:r>
    </w:p>
    <w:p w14:paraId="2001D62A" w14:textId="388F8BCF" w:rsidR="00536653" w:rsidRPr="006A2367" w:rsidRDefault="00536653" w:rsidP="00536653">
      <w:pPr>
        <w:pStyle w:val="ListParagraph"/>
        <w:numPr>
          <w:ilvl w:val="0"/>
          <w:numId w:val="15"/>
        </w:num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6A2367">
        <w:rPr>
          <w:rFonts w:cstheme="minorHAnsi"/>
          <w:sz w:val="24"/>
          <w:szCs w:val="24"/>
        </w:rPr>
        <w:t>A Public Purpose may reasonably be accomplished by one particular Grantee</w:t>
      </w:r>
    </w:p>
    <w:p w14:paraId="75F347DB" w14:textId="77777777" w:rsidR="00536653" w:rsidRPr="006A2367" w:rsidRDefault="00536653" w:rsidP="00536653">
      <w:pPr>
        <w:pStyle w:val="ListParagraph"/>
        <w:spacing w:before="100" w:beforeAutospacing="1" w:after="100" w:afterAutospacing="1" w:line="120" w:lineRule="exact"/>
        <w:ind w:left="1080"/>
        <w:jc w:val="both"/>
        <w:rPr>
          <w:rFonts w:cstheme="minorHAnsi"/>
          <w:b/>
          <w:sz w:val="24"/>
          <w:szCs w:val="24"/>
        </w:rPr>
      </w:pPr>
    </w:p>
    <w:p w14:paraId="0181DF34" w14:textId="611F51A4" w:rsidR="00536653" w:rsidRPr="006A2367" w:rsidRDefault="00536653" w:rsidP="00536653">
      <w:pPr>
        <w:pStyle w:val="ListParagraph"/>
        <w:spacing w:before="100" w:beforeAutospacing="1" w:after="120"/>
        <w:ind w:left="1080"/>
        <w:jc w:val="both"/>
        <w:rPr>
          <w:rFonts w:cstheme="minorHAnsi"/>
          <w:sz w:val="24"/>
          <w:szCs w:val="24"/>
        </w:rPr>
      </w:pPr>
      <w:r w:rsidRPr="006A2367">
        <w:rPr>
          <w:rFonts w:cstheme="minorHAnsi"/>
          <w:sz w:val="24"/>
          <w:szCs w:val="24"/>
        </w:rPr>
        <w:t xml:space="preserve">A competitive process may be deemed infeasible or impracticable when a grant is required to respond to a public emergency or other exigent circumstances. To award </w:t>
      </w:r>
      <w:r w:rsidR="003D4DF9" w:rsidRPr="006A2367">
        <w:rPr>
          <w:rFonts w:cstheme="minorHAnsi"/>
          <w:sz w:val="24"/>
          <w:szCs w:val="24"/>
        </w:rPr>
        <w:t xml:space="preserve">a grant agreement </w:t>
      </w:r>
      <w:r w:rsidRPr="006A2367">
        <w:rPr>
          <w:rFonts w:cstheme="minorHAnsi"/>
          <w:sz w:val="24"/>
          <w:szCs w:val="24"/>
        </w:rPr>
        <w:t xml:space="preserve">when </w:t>
      </w:r>
      <w:r w:rsidR="003D4DF9" w:rsidRPr="006A2367">
        <w:rPr>
          <w:rFonts w:cstheme="minorHAnsi"/>
          <w:sz w:val="24"/>
          <w:szCs w:val="24"/>
        </w:rPr>
        <w:t xml:space="preserve">such a </w:t>
      </w:r>
      <w:r w:rsidRPr="006A2367">
        <w:rPr>
          <w:rFonts w:cstheme="minorHAnsi"/>
          <w:sz w:val="24"/>
          <w:szCs w:val="24"/>
        </w:rPr>
        <w:t xml:space="preserve">circumstance exists, departments must obtain a waiver of the competitive solicitation requirements specified in Administrative Code Chapter 21G. Departments shall complete the </w:t>
      </w:r>
      <w:hyperlink r:id="rId15" w:history="1">
        <w:r w:rsidRPr="006A2367">
          <w:rPr>
            <w:rStyle w:val="Hyperlink"/>
            <w:rFonts w:cstheme="minorHAnsi"/>
            <w:sz w:val="24"/>
            <w:szCs w:val="24"/>
          </w:rPr>
          <w:t>Grant Solicitation Waiver Form (P-21G.8)</w:t>
        </w:r>
      </w:hyperlink>
      <w:r w:rsidRPr="006A2367">
        <w:rPr>
          <w:rFonts w:cstheme="minorHAnsi"/>
          <w:sz w:val="24"/>
          <w:szCs w:val="24"/>
        </w:rPr>
        <w:t xml:space="preserve"> to request approval of the emergency grant agreement by the department’s commission or board, if applicable, or </w:t>
      </w:r>
      <w:r w:rsidR="003D4DF9" w:rsidRPr="006A2367">
        <w:rPr>
          <w:rFonts w:cstheme="minorHAnsi"/>
          <w:sz w:val="24"/>
          <w:szCs w:val="24"/>
        </w:rPr>
        <w:t xml:space="preserve">by </w:t>
      </w:r>
      <w:r w:rsidRPr="006A2367">
        <w:rPr>
          <w:rFonts w:cstheme="minorHAnsi"/>
          <w:sz w:val="24"/>
          <w:szCs w:val="24"/>
        </w:rPr>
        <w:t>the Grant Consensus Committee. Once approved, departments will follow the standard processes by which to have the grant approved and issued.</w:t>
      </w:r>
    </w:p>
    <w:p w14:paraId="11CF5D6C" w14:textId="77777777" w:rsidR="00536653" w:rsidRPr="006A2367" w:rsidRDefault="00536653" w:rsidP="00536653">
      <w:pPr>
        <w:pStyle w:val="ListParagraph"/>
        <w:spacing w:before="100" w:beforeAutospacing="1" w:after="120"/>
        <w:ind w:left="1080"/>
        <w:jc w:val="both"/>
        <w:rPr>
          <w:rFonts w:cstheme="minorHAnsi"/>
          <w:sz w:val="24"/>
          <w:szCs w:val="24"/>
        </w:rPr>
      </w:pPr>
    </w:p>
    <w:p w14:paraId="779CCB50" w14:textId="77777777" w:rsidR="00EB7C00" w:rsidRPr="006A2367" w:rsidRDefault="00EB7C00" w:rsidP="00A54F3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sectPr w:rsidR="00EB7C00" w:rsidRPr="006A2367" w:rsidSect="00FB56FE">
      <w:footerReference w:type="default" r:id="rId16"/>
      <w:pgSz w:w="12240" w:h="15840"/>
      <w:pgMar w:top="1080" w:right="1080" w:bottom="1080" w:left="108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C006B" w14:textId="77777777" w:rsidR="00787121" w:rsidRDefault="00787121" w:rsidP="00D876BC">
      <w:pPr>
        <w:spacing w:after="0" w:line="240" w:lineRule="auto"/>
      </w:pPr>
      <w:r>
        <w:separator/>
      </w:r>
    </w:p>
  </w:endnote>
  <w:endnote w:type="continuationSeparator" w:id="0">
    <w:p w14:paraId="712E52E5" w14:textId="77777777" w:rsidR="00787121" w:rsidRDefault="00787121" w:rsidP="00D8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69545" w14:textId="24A2F988" w:rsidR="00D876BC" w:rsidRPr="00536653" w:rsidRDefault="00536653">
    <w:pPr>
      <w:pStyle w:val="Footer"/>
      <w:rPr>
        <w:b/>
      </w:rPr>
    </w:pPr>
    <w:r w:rsidRPr="00536653">
      <w:t>Guidance on the 13</w:t>
    </w:r>
    <w:r w:rsidRPr="00536653">
      <w:rPr>
        <w:vertAlign w:val="superscript"/>
      </w:rPr>
      <w:t>th</w:t>
    </w:r>
    <w:r w:rsidRPr="00536653">
      <w:t>, 35</w:t>
    </w:r>
    <w:r w:rsidRPr="00536653">
      <w:rPr>
        <w:vertAlign w:val="superscript"/>
      </w:rPr>
      <w:t>th</w:t>
    </w:r>
    <w:r w:rsidRPr="00536653">
      <w:t xml:space="preserve"> and 47</w:t>
    </w:r>
    <w:r w:rsidRPr="00536653">
      <w:rPr>
        <w:vertAlign w:val="superscript"/>
      </w:rPr>
      <w:t>th</w:t>
    </w:r>
    <w:r w:rsidRPr="00536653">
      <w:t xml:space="preserve"> Supplements </w:t>
    </w:r>
    <w:r w:rsidR="00D876BC">
      <w:ptab w:relativeTo="margin" w:alignment="right" w:leader="none"/>
    </w:r>
    <w:r w:rsidR="00D876BC">
      <w:t xml:space="preserve">April </w:t>
    </w:r>
    <w:r w:rsidR="006C229E">
      <w:t>18</w:t>
    </w:r>
    <w:r w:rsidR="00D876BC"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84675" w14:textId="77777777" w:rsidR="00787121" w:rsidRDefault="00787121" w:rsidP="00D876BC">
      <w:pPr>
        <w:spacing w:after="0" w:line="240" w:lineRule="auto"/>
      </w:pPr>
      <w:r>
        <w:separator/>
      </w:r>
    </w:p>
  </w:footnote>
  <w:footnote w:type="continuationSeparator" w:id="0">
    <w:p w14:paraId="1200F10E" w14:textId="77777777" w:rsidR="00787121" w:rsidRDefault="00787121" w:rsidP="00D876BC">
      <w:pPr>
        <w:spacing w:after="0" w:line="240" w:lineRule="auto"/>
      </w:pPr>
      <w:r>
        <w:continuationSeparator/>
      </w:r>
    </w:p>
  </w:footnote>
  <w:footnote w:id="1">
    <w:p w14:paraId="275BD3F4" w14:textId="5A296295" w:rsidR="009E75AC" w:rsidRDefault="009E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75AC">
        <w:t xml:space="preserve">For Chapter 21 contracts, departments should use </w:t>
      </w:r>
      <w:hyperlink r:id="rId1" w:history="1">
        <w:r w:rsidRPr="009E75AC">
          <w:rPr>
            <w:rStyle w:val="Hyperlink"/>
          </w:rPr>
          <w:t>OCA’s standard checklists</w:t>
        </w:r>
      </w:hyperlink>
      <w:r w:rsidRPr="009E75AC">
        <w:t xml:space="preserve">. </w:t>
      </w:r>
      <w:r w:rsidRPr="009E75AC">
        <w:rPr>
          <w:i/>
        </w:rPr>
        <w:t>Departments may no longer use the CL-COVID-A checklist to amend COVID contracts.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F45"/>
    <w:multiLevelType w:val="hybridMultilevel"/>
    <w:tmpl w:val="214A6F26"/>
    <w:lvl w:ilvl="0" w:tplc="8DD47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4BA"/>
    <w:multiLevelType w:val="hybridMultilevel"/>
    <w:tmpl w:val="14544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2063F"/>
    <w:multiLevelType w:val="hybridMultilevel"/>
    <w:tmpl w:val="F9803DC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8B4C703E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877EB"/>
    <w:multiLevelType w:val="hybridMultilevel"/>
    <w:tmpl w:val="7BA6E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A03347"/>
    <w:multiLevelType w:val="hybridMultilevel"/>
    <w:tmpl w:val="C6DC5E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194B59"/>
    <w:multiLevelType w:val="hybridMultilevel"/>
    <w:tmpl w:val="445E2E50"/>
    <w:lvl w:ilvl="0" w:tplc="36C69504">
      <w:start w:val="1"/>
      <w:numFmt w:val="upperRoman"/>
      <w:lvlText w:val="%1."/>
      <w:lvlJc w:val="right"/>
      <w:pPr>
        <w:ind w:left="72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6EDD"/>
    <w:multiLevelType w:val="hybridMultilevel"/>
    <w:tmpl w:val="AC6E6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BF4DE9"/>
    <w:multiLevelType w:val="hybridMultilevel"/>
    <w:tmpl w:val="E3608D54"/>
    <w:lvl w:ilvl="0" w:tplc="4290F610">
      <w:start w:val="1"/>
      <w:numFmt w:val="upperRoman"/>
      <w:lvlText w:val="%1."/>
      <w:lvlJc w:val="righ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B427B"/>
    <w:multiLevelType w:val="hybridMultilevel"/>
    <w:tmpl w:val="A1606742"/>
    <w:lvl w:ilvl="0" w:tplc="D130C92C">
      <w:start w:val="1"/>
      <w:numFmt w:val="upperLetter"/>
      <w:lvlText w:val="%1."/>
      <w:lvlJc w:val="left"/>
      <w:pPr>
        <w:ind w:left="108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5320DE"/>
    <w:multiLevelType w:val="hybridMultilevel"/>
    <w:tmpl w:val="3D007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362836"/>
    <w:multiLevelType w:val="hybridMultilevel"/>
    <w:tmpl w:val="A0EA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07FB"/>
    <w:multiLevelType w:val="hybridMultilevel"/>
    <w:tmpl w:val="8FCAA1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8C7579"/>
    <w:multiLevelType w:val="hybridMultilevel"/>
    <w:tmpl w:val="C5B0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6F54"/>
    <w:multiLevelType w:val="hybridMultilevel"/>
    <w:tmpl w:val="AFE2E37C"/>
    <w:lvl w:ilvl="0" w:tplc="B1A0CFB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277A8"/>
    <w:multiLevelType w:val="hybridMultilevel"/>
    <w:tmpl w:val="91726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9A31AF"/>
    <w:multiLevelType w:val="multilevel"/>
    <w:tmpl w:val="95C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B22A4"/>
    <w:multiLevelType w:val="hybridMultilevel"/>
    <w:tmpl w:val="452ADC08"/>
    <w:lvl w:ilvl="0" w:tplc="A6E8B29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3D2F44"/>
    <w:multiLevelType w:val="hybridMultilevel"/>
    <w:tmpl w:val="7BA6E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692D00"/>
    <w:multiLevelType w:val="hybridMultilevel"/>
    <w:tmpl w:val="0D64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3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  <w:num w:numId="14">
    <w:abstractNumId w:val="7"/>
  </w:num>
  <w:num w:numId="15">
    <w:abstractNumId w:val="14"/>
  </w:num>
  <w:num w:numId="16">
    <w:abstractNumId w:val="3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DB"/>
    <w:rsid w:val="00001CEF"/>
    <w:rsid w:val="00053245"/>
    <w:rsid w:val="00093F1B"/>
    <w:rsid w:val="000B5DB8"/>
    <w:rsid w:val="000F48E1"/>
    <w:rsid w:val="00176ECE"/>
    <w:rsid w:val="001E0BDB"/>
    <w:rsid w:val="00273B69"/>
    <w:rsid w:val="002B64A9"/>
    <w:rsid w:val="002E2F64"/>
    <w:rsid w:val="00312996"/>
    <w:rsid w:val="003D4DF9"/>
    <w:rsid w:val="003D7F5F"/>
    <w:rsid w:val="0042027C"/>
    <w:rsid w:val="004254D0"/>
    <w:rsid w:val="004B2F84"/>
    <w:rsid w:val="004C40D1"/>
    <w:rsid w:val="004C7AC6"/>
    <w:rsid w:val="004F5B51"/>
    <w:rsid w:val="00536653"/>
    <w:rsid w:val="005468D2"/>
    <w:rsid w:val="00592282"/>
    <w:rsid w:val="005A353D"/>
    <w:rsid w:val="00663334"/>
    <w:rsid w:val="006A2367"/>
    <w:rsid w:val="006C229E"/>
    <w:rsid w:val="006D3B05"/>
    <w:rsid w:val="006F1800"/>
    <w:rsid w:val="00717971"/>
    <w:rsid w:val="00722759"/>
    <w:rsid w:val="00726F3E"/>
    <w:rsid w:val="007369C9"/>
    <w:rsid w:val="007468E5"/>
    <w:rsid w:val="007470B7"/>
    <w:rsid w:val="00747321"/>
    <w:rsid w:val="00787121"/>
    <w:rsid w:val="007F3BFE"/>
    <w:rsid w:val="008A61DE"/>
    <w:rsid w:val="008D1E0F"/>
    <w:rsid w:val="008F140B"/>
    <w:rsid w:val="008F3B71"/>
    <w:rsid w:val="008F4651"/>
    <w:rsid w:val="009B2699"/>
    <w:rsid w:val="009D4F92"/>
    <w:rsid w:val="009E75AC"/>
    <w:rsid w:val="00A12371"/>
    <w:rsid w:val="00A40E05"/>
    <w:rsid w:val="00A54F36"/>
    <w:rsid w:val="00A705EE"/>
    <w:rsid w:val="00A93EBE"/>
    <w:rsid w:val="00AF55E9"/>
    <w:rsid w:val="00AF58F4"/>
    <w:rsid w:val="00B35132"/>
    <w:rsid w:val="00B47852"/>
    <w:rsid w:val="00BD01CA"/>
    <w:rsid w:val="00CF1BE8"/>
    <w:rsid w:val="00CF5B13"/>
    <w:rsid w:val="00D033FF"/>
    <w:rsid w:val="00D11815"/>
    <w:rsid w:val="00D30368"/>
    <w:rsid w:val="00D43F96"/>
    <w:rsid w:val="00D8232B"/>
    <w:rsid w:val="00D876BC"/>
    <w:rsid w:val="00DC17BE"/>
    <w:rsid w:val="00DC5A8A"/>
    <w:rsid w:val="00DD5ACA"/>
    <w:rsid w:val="00DE53CD"/>
    <w:rsid w:val="00DF5097"/>
    <w:rsid w:val="00E948C9"/>
    <w:rsid w:val="00EB7C00"/>
    <w:rsid w:val="00F049AD"/>
    <w:rsid w:val="00F404B3"/>
    <w:rsid w:val="00F91C13"/>
    <w:rsid w:val="00F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4F1878"/>
  <w15:chartTrackingRefBased/>
  <w15:docId w15:val="{B6890D31-9D40-419F-9B86-053834FF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BDB"/>
    <w:pPr>
      <w:ind w:left="720"/>
      <w:contextualSpacing/>
    </w:pPr>
  </w:style>
  <w:style w:type="character" w:customStyle="1" w:styleId="file">
    <w:name w:val="file"/>
    <w:basedOn w:val="DefaultParagraphFont"/>
    <w:rsid w:val="001E0BDB"/>
  </w:style>
  <w:style w:type="character" w:styleId="Hyperlink">
    <w:name w:val="Hyperlink"/>
    <w:basedOn w:val="DefaultParagraphFont"/>
    <w:uiPriority w:val="99"/>
    <w:unhideWhenUsed/>
    <w:rsid w:val="001E0BDB"/>
    <w:rPr>
      <w:color w:val="0000FF"/>
      <w:u w:val="single"/>
    </w:rPr>
  </w:style>
  <w:style w:type="paragraph" w:customStyle="1" w:styleId="Compact">
    <w:name w:val="Compact"/>
    <w:basedOn w:val="BodyText"/>
    <w:qFormat/>
    <w:rsid w:val="00F91C13"/>
    <w:pPr>
      <w:spacing w:before="36" w:after="36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91C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C13"/>
  </w:style>
  <w:style w:type="character" w:styleId="CommentReference">
    <w:name w:val="annotation reference"/>
    <w:basedOn w:val="DefaultParagraphFont"/>
    <w:uiPriority w:val="99"/>
    <w:semiHidden/>
    <w:unhideWhenUsed/>
    <w:rsid w:val="004C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BC"/>
  </w:style>
  <w:style w:type="paragraph" w:styleId="Footer">
    <w:name w:val="footer"/>
    <w:basedOn w:val="Normal"/>
    <w:link w:val="FooterChar"/>
    <w:uiPriority w:val="99"/>
    <w:unhideWhenUsed/>
    <w:rsid w:val="00D8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BC"/>
  </w:style>
  <w:style w:type="character" w:styleId="UnresolvedMention">
    <w:name w:val="Unresolved Mention"/>
    <w:basedOn w:val="DefaultParagraphFont"/>
    <w:uiPriority w:val="99"/>
    <w:semiHidden/>
    <w:unhideWhenUsed/>
    <w:rsid w:val="007369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68D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7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5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5A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1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4619">
          <w:marLeft w:val="180"/>
          <w:marRight w:val="0"/>
          <w:marTop w:val="0"/>
          <w:marBottom w:val="0"/>
          <w:divBdr>
            <w:top w:val="single" w:sz="24" w:space="2" w:color="C0C0C0"/>
            <w:left w:val="single" w:sz="8" w:space="2" w:color="FFFFFF"/>
            <w:bottom w:val="single" w:sz="8" w:space="2" w:color="FFFFFF"/>
            <w:right w:val="single" w:sz="8" w:space="2" w:color="FFFFFF"/>
          </w:divBdr>
          <w:divsChild>
            <w:div w:id="14197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3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61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4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32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7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90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63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43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98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51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04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35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mayor.org/sites/default/files/47th_COVID_Suppplement_Contracts_041222.pdf" TargetMode="External"/><Relationship Id="rId13" Type="http://schemas.openxmlformats.org/officeDocument/2006/relationships/hyperlink" Target="https://sfgov.org/oca/multi-year-direct-contracting-checklists-templat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mayor.org/sites/default/files/47th_COVID_Suppplement_Contracts_04122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mayor.org/sites/default/files/021921_35thSuppleme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gov.org/oca/sites/default/files/P-21G.8%20Grant%20Solicitation%20Waiver%20Form%2001-2022_0.docx" TargetMode="External"/><Relationship Id="rId10" Type="http://schemas.openxmlformats.org/officeDocument/2006/relationships/hyperlink" Target="https://sfmayor.org/sites/default/files/Emergency_Declaration_13th_0511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mayor.org/sites/default/files/47th_COVID_Suppplement_Contracts_041222.pdf" TargetMode="External"/><Relationship Id="rId14" Type="http://schemas.openxmlformats.org/officeDocument/2006/relationships/hyperlink" Target="https://sfgov.org/oca/multi-year-direct-contracting-checklists-templat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fgov.org/oca/multi-year-direct-contracting-checklists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2BB9-C8DB-463E-8CA8-8D00FAC7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7275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Taraneh Moayed</cp:lastModifiedBy>
  <cp:revision>2</cp:revision>
  <dcterms:created xsi:type="dcterms:W3CDTF">2022-04-18T23:42:00Z</dcterms:created>
  <dcterms:modified xsi:type="dcterms:W3CDTF">2022-04-18T23:42:00Z</dcterms:modified>
</cp:coreProperties>
</file>